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napToGrid w:val="0"/>
        <w:spacing w:before="156" w:after="156" w:line="300" w:lineRule="atLeast"/>
        <w:ind w:firstLine="1307" w:firstLineChars="296"/>
        <w:jc w:val="center"/>
        <w:rPr>
          <w:rFonts w:hint="default" w:ascii="Times New Roman" w:hAnsi="Times New Roman" w:cs="Times New Roman"/>
          <w:b/>
          <w:sz w:val="44"/>
          <w:szCs w:val="44"/>
        </w:rPr>
      </w:pPr>
    </w:p>
    <w:p>
      <w:pPr>
        <w:pStyle w:val="144"/>
        <w:ind w:left="0" w:leftChars="0" w:firstLine="0" w:firstLineChars="0"/>
        <w:jc w:val="both"/>
        <w:rPr>
          <w:rFonts w:hint="default" w:ascii="Times New Roman" w:hAnsi="Times New Roman" w:cs="Times New Roman"/>
        </w:rPr>
      </w:pPr>
    </w:p>
    <w:p>
      <w:pPr>
        <w:ind w:firstLine="640"/>
        <w:rPr>
          <w:rFonts w:hint="default" w:ascii="Times New Roman" w:hAnsi="Times New Roman" w:cs="Times New Roman"/>
          <w:szCs w:val="28"/>
        </w:rPr>
      </w:pPr>
      <w:bookmarkStart w:id="0" w:name="_Hlk37392311"/>
    </w:p>
    <w:p>
      <w:pPr>
        <w:widowControl w:val="0"/>
        <w:spacing w:line="360" w:lineRule="auto"/>
        <w:ind w:firstLine="0" w:firstLineChars="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新乡市2022年市区河渠社会化养护项目</w:t>
      </w:r>
    </w:p>
    <w:p>
      <w:pPr>
        <w:widowControl w:val="0"/>
        <w:spacing w:line="360" w:lineRule="auto"/>
        <w:ind w:firstLine="0" w:firstLineChars="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rPr>
        <w:t>绩效评价报告</w:t>
      </w:r>
    </w:p>
    <w:bookmarkEnd w:id="0"/>
    <w:p>
      <w:pPr>
        <w:widowControl w:val="0"/>
        <w:spacing w:before="156" w:after="156"/>
        <w:ind w:firstLine="640"/>
        <w:jc w:val="center"/>
        <w:rPr>
          <w:rFonts w:hint="default" w:ascii="Times New Roman" w:hAnsi="Times New Roman" w:cs="Times New Roman"/>
        </w:rPr>
      </w:pPr>
    </w:p>
    <w:p>
      <w:pPr>
        <w:widowControl w:val="0"/>
        <w:spacing w:before="156" w:after="156"/>
        <w:ind w:firstLine="640"/>
        <w:jc w:val="center"/>
        <w:rPr>
          <w:rFonts w:hint="default" w:ascii="Times New Roman" w:hAnsi="Times New Roman" w:cs="Times New Roman"/>
        </w:rPr>
      </w:pPr>
    </w:p>
    <w:p>
      <w:pPr>
        <w:widowControl w:val="0"/>
        <w:spacing w:before="156" w:after="156" w:line="500" w:lineRule="exact"/>
        <w:ind w:left="2694" w:leftChars="350" w:hanging="1574" w:hangingChars="492"/>
        <w:jc w:val="center"/>
        <w:rPr>
          <w:rFonts w:hint="default" w:ascii="Times New Roman" w:hAnsi="Times New Roman" w:cs="Times New Roman"/>
          <w:szCs w:val="32"/>
        </w:rPr>
      </w:pPr>
    </w:p>
    <w:p>
      <w:pPr>
        <w:widowControl w:val="0"/>
        <w:spacing w:before="156" w:after="156" w:line="500" w:lineRule="exact"/>
        <w:ind w:left="2694" w:leftChars="350" w:hanging="1574" w:hangingChars="492"/>
        <w:jc w:val="center"/>
        <w:rPr>
          <w:rFonts w:hint="default" w:ascii="Times New Roman" w:hAnsi="Times New Roman" w:cs="Times New Roman"/>
          <w:szCs w:val="32"/>
        </w:rPr>
      </w:pPr>
    </w:p>
    <w:p>
      <w:pPr>
        <w:widowControl w:val="0"/>
        <w:spacing w:before="156" w:after="156" w:line="500" w:lineRule="exact"/>
        <w:ind w:left="2694" w:leftChars="350" w:hanging="1574" w:hangingChars="492"/>
        <w:rPr>
          <w:rFonts w:hint="default" w:ascii="Times New Roman" w:hAnsi="Times New Roman" w:cs="Times New Roman"/>
          <w:szCs w:val="32"/>
        </w:rPr>
      </w:pPr>
      <w:r>
        <w:rPr>
          <w:rFonts w:hint="default" w:ascii="Times New Roman" w:hAnsi="Times New Roman" w:cs="Times New Roman"/>
          <w:szCs w:val="32"/>
        </w:rPr>
        <w:t>项目名称：市区河渠社会化养护项目</w:t>
      </w:r>
    </w:p>
    <w:p>
      <w:pPr>
        <w:widowControl w:val="0"/>
        <w:spacing w:before="156" w:after="156" w:line="500" w:lineRule="exact"/>
        <w:ind w:left="2694" w:leftChars="350" w:hanging="1574" w:hangingChars="492"/>
        <w:rPr>
          <w:rFonts w:hint="default" w:ascii="Times New Roman" w:hAnsi="Times New Roman" w:cs="Times New Roman"/>
          <w:szCs w:val="32"/>
        </w:rPr>
      </w:pPr>
      <w:r>
        <w:rPr>
          <w:rFonts w:hint="default" w:ascii="Times New Roman" w:hAnsi="Times New Roman" w:cs="Times New Roman"/>
          <w:szCs w:val="32"/>
        </w:rPr>
        <w:t>主管单位：新乡市水利局</w:t>
      </w:r>
    </w:p>
    <w:p>
      <w:pPr>
        <w:widowControl w:val="0"/>
        <w:spacing w:before="156" w:after="156" w:line="500" w:lineRule="exact"/>
        <w:ind w:left="2694" w:leftChars="350" w:hanging="1574" w:hangingChars="492"/>
        <w:rPr>
          <w:rFonts w:hint="default" w:ascii="Times New Roman" w:hAnsi="Times New Roman" w:cs="Times New Roman"/>
          <w:color w:val="000000"/>
          <w:szCs w:val="32"/>
        </w:rPr>
      </w:pPr>
      <w:r>
        <w:rPr>
          <w:rFonts w:hint="default" w:ascii="Times New Roman" w:hAnsi="Times New Roman" w:cs="Times New Roman"/>
          <w:szCs w:val="32"/>
        </w:rPr>
        <w:t>项目单位：</w:t>
      </w:r>
      <w:r>
        <w:rPr>
          <w:rFonts w:hint="default" w:ascii="Times New Roman" w:hAnsi="Times New Roman" w:cs="Times New Roman"/>
          <w:color w:val="000000"/>
          <w:szCs w:val="32"/>
        </w:rPr>
        <w:t>新乡市市区河渠综合事务中心</w:t>
      </w:r>
    </w:p>
    <w:p>
      <w:pPr>
        <w:widowControl w:val="0"/>
        <w:spacing w:before="156" w:after="156" w:line="500" w:lineRule="exact"/>
        <w:ind w:left="2694" w:leftChars="350" w:hanging="1574" w:hangingChars="492"/>
        <w:rPr>
          <w:rFonts w:hint="default" w:ascii="Times New Roman" w:hAnsi="Times New Roman" w:cs="Times New Roman"/>
          <w:szCs w:val="32"/>
        </w:rPr>
      </w:pPr>
      <w:bookmarkStart w:id="173" w:name="_GoBack"/>
      <w:r>
        <w:rPr>
          <w:rFonts w:hint="default" w:ascii="Times New Roman" w:hAnsi="Times New Roman" w:cs="Times New Roman"/>
          <w:szCs w:val="32"/>
        </w:rPr>
        <w:t>委托单位：新乡市财政局</w:t>
      </w:r>
    </w:p>
    <w:p>
      <w:pPr>
        <w:widowControl w:val="0"/>
        <w:spacing w:before="156" w:after="156" w:line="500" w:lineRule="exact"/>
        <w:ind w:left="2694" w:leftChars="350" w:hanging="1574" w:hangingChars="492"/>
        <w:rPr>
          <w:rFonts w:hint="default" w:ascii="Times New Roman" w:hAnsi="Times New Roman" w:cs="Times New Roman"/>
          <w:szCs w:val="32"/>
        </w:rPr>
      </w:pPr>
      <w:r>
        <w:rPr>
          <w:rFonts w:hint="default" w:ascii="Times New Roman" w:hAnsi="Times New Roman" w:cs="Times New Roman"/>
          <w:szCs w:val="32"/>
        </w:rPr>
        <w:t>评价单位：上海锦航会计师事务所有限责任公司</w:t>
      </w:r>
    </w:p>
    <w:p>
      <w:pPr>
        <w:widowControl w:val="0"/>
        <w:spacing w:before="156" w:after="156" w:line="500" w:lineRule="exact"/>
        <w:ind w:left="2694" w:leftChars="350" w:hanging="1574" w:hangingChars="492"/>
        <w:rPr>
          <w:rFonts w:hint="eastAsia" w:ascii="Times New Roman" w:hAnsi="Times New Roman" w:cs="Times New Roman"/>
          <w:szCs w:val="32"/>
          <w:lang w:val="en-US" w:eastAsia="zh-CN"/>
        </w:rPr>
      </w:pPr>
      <w:r>
        <w:rPr>
          <w:rFonts w:hint="eastAsia" w:ascii="Times New Roman" w:hAnsi="Times New Roman" w:cs="Times New Roman"/>
          <w:szCs w:val="32"/>
          <w:lang w:val="en-US" w:eastAsia="zh-CN"/>
        </w:rPr>
        <w:t>主评人：</w:t>
      </w:r>
    </w:p>
    <w:bookmarkEnd w:id="173"/>
    <w:p>
      <w:pPr>
        <w:widowControl w:val="0"/>
        <w:spacing w:before="156" w:after="156" w:line="500" w:lineRule="exact"/>
        <w:ind w:left="1120" w:leftChars="350" w:firstLine="643"/>
        <w:rPr>
          <w:rFonts w:hint="default" w:ascii="Times New Roman" w:hAnsi="Times New Roman" w:eastAsia="黑体" w:cs="Times New Roman"/>
          <w:b/>
          <w:szCs w:val="28"/>
        </w:rPr>
      </w:pPr>
    </w:p>
    <w:p>
      <w:pPr>
        <w:widowControl w:val="0"/>
        <w:spacing w:before="156" w:after="156" w:line="500" w:lineRule="exact"/>
        <w:ind w:left="1120" w:leftChars="350" w:firstLine="643"/>
        <w:rPr>
          <w:rFonts w:hint="default" w:ascii="Times New Roman" w:hAnsi="Times New Roman" w:eastAsia="黑体" w:cs="Times New Roman"/>
          <w:b/>
          <w:szCs w:val="28"/>
        </w:rPr>
      </w:pPr>
    </w:p>
    <w:p>
      <w:pPr>
        <w:widowControl w:val="0"/>
        <w:spacing w:before="156" w:after="156" w:line="500" w:lineRule="exact"/>
        <w:ind w:left="1120" w:leftChars="350" w:firstLine="643"/>
        <w:rPr>
          <w:rFonts w:hint="default" w:ascii="Times New Roman" w:hAnsi="Times New Roman" w:eastAsia="黑体" w:cs="Times New Roman"/>
          <w:b/>
          <w:szCs w:val="28"/>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rPr>
          <w:rFonts w:hint="default" w:ascii="Times New Roman" w:hAnsi="Times New Roman" w:eastAsia="仿宋_GB2312" w:cs="Times New Roman"/>
          <w:b/>
          <w:szCs w:val="30"/>
          <w:lang w:val="en-US" w:eastAsia="zh-CN"/>
        </w:rPr>
      </w:pPr>
      <w:r>
        <w:rPr>
          <w:rFonts w:hint="default" w:ascii="Times New Roman" w:hAnsi="Times New Roman" w:eastAsia="仿宋_GB2312" w:cs="Times New Roman"/>
          <w:b/>
          <w:szCs w:val="30"/>
          <w:lang w:val="en-US" w:eastAsia="zh-CN"/>
        </w:rPr>
        <w:t>2023年1月</w:t>
      </w:r>
    </w:p>
    <w:p>
      <w:pPr>
        <w:widowControl w:val="0"/>
        <w:spacing w:line="460" w:lineRule="exact"/>
        <w:ind w:firstLine="0" w:firstLineChars="0"/>
        <w:jc w:val="center"/>
        <w:rPr>
          <w:rFonts w:hint="default" w:ascii="Times New Roman" w:hAnsi="Times New Roman" w:eastAsia="黑体" w:cs="Times New Roman"/>
          <w:b/>
          <w:szCs w:val="32"/>
          <w:lang w:val="zh-TW" w:eastAsia="zh-TW"/>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304" w:right="1701" w:bottom="1304" w:left="1701" w:header="0" w:footer="0" w:gutter="0"/>
          <w:pgNumType w:start="1"/>
          <w:cols w:space="720" w:num="1"/>
          <w:docGrid w:type="lines" w:linePitch="435" w:charSpace="0"/>
        </w:sectPr>
      </w:pPr>
    </w:p>
    <w:p>
      <w:pPr>
        <w:pStyle w:val="2"/>
        <w:rPr>
          <w:rFonts w:hint="default" w:ascii="Times New Roman" w:hAnsi="Times New Roman" w:cs="Times New Roman"/>
          <w:lang w:val="zh-TW" w:eastAsia="zh-TW"/>
        </w:rPr>
      </w:pPr>
    </w:p>
    <w:p>
      <w:pPr>
        <w:widowControl w:val="0"/>
        <w:spacing w:line="460" w:lineRule="exact"/>
        <w:ind w:firstLine="0" w:firstLineChars="0"/>
        <w:jc w:val="center"/>
        <w:rPr>
          <w:rFonts w:hint="default" w:ascii="Times New Roman" w:hAnsi="Times New Roman" w:eastAsia="黑体" w:cs="Times New Roman"/>
          <w:color w:val="000000"/>
          <w:sz w:val="36"/>
          <w:szCs w:val="36"/>
        </w:rPr>
        <w:sectPr>
          <w:footerReference r:id="rId11" w:type="default"/>
          <w:footerReference r:id="rId12" w:type="even"/>
          <w:footnotePr>
            <w:numRestart w:val="eachPage"/>
          </w:footnotePr>
          <w:pgSz w:w="11906" w:h="16838"/>
          <w:pgMar w:top="1304" w:right="1701" w:bottom="1304" w:left="1701" w:header="0" w:footer="0" w:gutter="0"/>
          <w:pgNumType w:start="1"/>
          <w:cols w:space="720" w:num="1"/>
          <w:docGrid w:type="lines" w:linePitch="435" w:charSpace="0"/>
        </w:sectPr>
      </w:pPr>
    </w:p>
    <w:p>
      <w:pPr>
        <w:widowControl w:val="0"/>
        <w:spacing w:line="460" w:lineRule="exact"/>
        <w:ind w:firstLine="0" w:firstLineChars="0"/>
        <w:jc w:val="center"/>
        <w:rPr>
          <w:rFonts w:hint="default" w:ascii="Times New Roman" w:hAnsi="Times New Roman" w:eastAsia="黑体" w:cs="Times New Roman"/>
          <w:color w:val="000000"/>
          <w:sz w:val="36"/>
          <w:szCs w:val="36"/>
        </w:rPr>
      </w:pPr>
      <w:r>
        <w:rPr>
          <w:rFonts w:hint="default" w:ascii="Times New Roman" w:hAnsi="Times New Roman" w:eastAsia="黑体" w:cs="Times New Roman"/>
          <w:color w:val="000000"/>
          <w:sz w:val="36"/>
          <w:szCs w:val="36"/>
        </w:rPr>
        <w:t>目   录</w:t>
      </w:r>
    </w:p>
    <w:p>
      <w:pPr>
        <w:pStyle w:val="144"/>
        <w:spacing w:line="500" w:lineRule="exact"/>
        <w:ind w:firstLine="0" w:firstLineChars="0"/>
        <w:rPr>
          <w:rFonts w:hint="default" w:ascii="Times New Roman" w:hAnsi="Times New Roman" w:cs="Times New Roman"/>
          <w:sz w:val="28"/>
        </w:rPr>
      </w:pP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eastAsia="黑体" w:cs="Times New Roman"/>
          <w:b w:val="0"/>
          <w:bCs w:val="0"/>
          <w:caps w:val="0"/>
          <w:sz w:val="28"/>
          <w:szCs w:val="28"/>
        </w:rPr>
        <w:fldChar w:fldCharType="begin"/>
      </w:r>
      <w:r>
        <w:rPr>
          <w:rFonts w:hint="default" w:ascii="Times New Roman" w:hAnsi="Times New Roman" w:eastAsia="黑体" w:cs="Times New Roman"/>
          <w:b w:val="0"/>
          <w:bCs w:val="0"/>
          <w:caps w:val="0"/>
          <w:sz w:val="28"/>
          <w:szCs w:val="28"/>
        </w:rPr>
        <w:instrText xml:space="preserve">TOC \o "1-2" \h \u </w:instrText>
      </w:r>
      <w:r>
        <w:rPr>
          <w:rFonts w:hint="default" w:ascii="Times New Roman" w:hAnsi="Times New Roman" w:eastAsia="黑体" w:cs="Times New Roman"/>
          <w:b w:val="0"/>
          <w:bCs w:val="0"/>
          <w:caps w:val="0"/>
          <w:sz w:val="28"/>
          <w:szCs w:val="28"/>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"_Toc91522484"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摘 要</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_Toc91522484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"_Toc91522485"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一、基本情况</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_Toc91522485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9</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spacing w:line="500" w:lineRule="exact"/>
        <w:ind w:left="0" w:firstLine="0"/>
        <w:rPr>
          <w:rFonts w:hint="default" w:ascii="Times New Roman" w:hAnsi="Times New Roman" w:eastAsia="楷体_GB2312" w:cs="Times New Roman"/>
          <w:small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"_Toc91522486"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（一）</w:t>
      </w:r>
      <w:r>
        <w:rPr>
          <w:rStyle w:val="45"/>
          <w:rFonts w:hint="default" w:ascii="Times New Roman" w:hAnsi="Times New Roman" w:eastAsia="楷体_GB2312" w:cs="Times New Roman"/>
          <w:sz w:val="28"/>
          <w:szCs w:val="28"/>
        </w:rPr>
        <w:t>项目概况</w:t>
      </w:r>
      <w:r>
        <w:rPr>
          <w:rFonts w:hint="default" w:ascii="Times New Roman" w:hAnsi="Times New Roman" w:eastAsia="楷体_GB2312" w:cs="Times New Roman"/>
          <w:sz w:val="28"/>
          <w:szCs w:val="28"/>
        </w:rPr>
        <w:tab/>
      </w:r>
      <w:r>
        <w:rPr>
          <w:rFonts w:hint="default" w:ascii="Times New Roman" w:hAnsi="Times New Roman" w:eastAsia="楷体_GB2312" w:cs="Times New Roman"/>
          <w:sz w:val="28"/>
          <w:szCs w:val="28"/>
        </w:rPr>
        <w:fldChar w:fldCharType="begin"/>
      </w:r>
      <w:r>
        <w:rPr>
          <w:rFonts w:hint="default" w:ascii="Times New Roman" w:hAnsi="Times New Roman" w:eastAsia="楷体_GB2312" w:cs="Times New Roman"/>
          <w:sz w:val="28"/>
          <w:szCs w:val="28"/>
        </w:rPr>
        <w:instrText xml:space="preserve"> PAGEREF _Toc91522486 \h </w:instrText>
      </w:r>
      <w:r>
        <w:rPr>
          <w:rFonts w:hint="default" w:ascii="Times New Roman" w:hAnsi="Times New Roman" w:eastAsia="楷体_GB2312" w:cs="Times New Roman"/>
          <w:sz w:val="28"/>
          <w:szCs w:val="28"/>
        </w:rPr>
        <w:fldChar w:fldCharType="separate"/>
      </w:r>
      <w:r>
        <w:rPr>
          <w:rFonts w:hint="default" w:ascii="Times New Roman" w:hAnsi="Times New Roman" w:eastAsia="楷体_GB2312" w:cs="Times New Roman"/>
          <w:sz w:val="28"/>
          <w:szCs w:val="28"/>
        </w:rPr>
        <w:t>9</w:t>
      </w:r>
      <w:r>
        <w:rPr>
          <w:rFonts w:hint="default" w:ascii="Times New Roman" w:hAnsi="Times New Roman" w:eastAsia="楷体_GB2312" w:cs="Times New Roman"/>
          <w:sz w:val="28"/>
          <w:szCs w:val="28"/>
        </w:rPr>
        <w:fldChar w:fldCharType="end"/>
      </w:r>
      <w:r>
        <w:rPr>
          <w:rFonts w:hint="default" w:ascii="Times New Roman" w:hAnsi="Times New Roman" w:eastAsia="楷体_GB2312" w:cs="Times New Roman"/>
          <w:sz w:val="28"/>
          <w:szCs w:val="28"/>
        </w:rPr>
        <w:fldChar w:fldCharType="end"/>
      </w:r>
    </w:p>
    <w:p>
      <w:pPr>
        <w:pStyle w:val="31"/>
        <w:spacing w:line="500" w:lineRule="exact"/>
        <w:ind w:left="0" w:firstLine="0"/>
        <w:rPr>
          <w:rFonts w:hint="default" w:ascii="Times New Roman" w:hAnsi="Times New Roman" w:eastAsia="楷体_GB2312" w:cs="Times New Roman"/>
          <w:small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"_Toc91522487"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rPr>
        <w:t>（</w:t>
      </w:r>
      <w:r>
        <w:rPr>
          <w:rStyle w:val="45"/>
          <w:rFonts w:hint="default" w:ascii="Times New Roman" w:hAnsi="Times New Roman" w:eastAsia="楷体_GB2312" w:cs="Times New Roman"/>
          <w:sz w:val="28"/>
          <w:szCs w:val="28"/>
        </w:rPr>
        <w:t>二</w:t>
      </w:r>
      <w:r>
        <w:rPr>
          <w:rStyle w:val="45"/>
          <w:rFonts w:hint="default" w:ascii="Times New Roman" w:hAnsi="Times New Roman" w:eastAsia="楷体_GB2312" w:cs="Times New Roman"/>
          <w:sz w:val="28"/>
          <w:szCs w:val="28"/>
          <w:lang w:val="zh-TW"/>
        </w:rPr>
        <w:t>）</w:t>
      </w:r>
      <w:r>
        <w:rPr>
          <w:rStyle w:val="45"/>
          <w:rFonts w:hint="default" w:ascii="Times New Roman" w:hAnsi="Times New Roman" w:eastAsia="楷体_GB2312" w:cs="Times New Roman"/>
          <w:sz w:val="28"/>
          <w:szCs w:val="28"/>
          <w:lang w:val="zh-TW" w:eastAsia="zh-TW"/>
        </w:rPr>
        <w:t>项目绩效目标</w:t>
      </w:r>
      <w:r>
        <w:rPr>
          <w:rFonts w:hint="default" w:ascii="Times New Roman" w:hAnsi="Times New Roman" w:eastAsia="楷体_GB2312" w:cs="Times New Roman"/>
          <w:sz w:val="28"/>
          <w:szCs w:val="28"/>
        </w:rPr>
        <w:tab/>
      </w:r>
      <w:r>
        <w:rPr>
          <w:rFonts w:hint="default" w:ascii="Times New Roman" w:hAnsi="Times New Roman" w:eastAsia="楷体_GB2312" w:cs="Times New Roman"/>
          <w:sz w:val="28"/>
          <w:szCs w:val="28"/>
        </w:rPr>
        <w:fldChar w:fldCharType="begin"/>
      </w:r>
      <w:r>
        <w:rPr>
          <w:rFonts w:hint="default" w:ascii="Times New Roman" w:hAnsi="Times New Roman" w:eastAsia="楷体_GB2312" w:cs="Times New Roman"/>
          <w:sz w:val="28"/>
          <w:szCs w:val="28"/>
        </w:rPr>
        <w:instrText xml:space="preserve"> PAGEREF _Toc91522487 \h </w:instrText>
      </w:r>
      <w:r>
        <w:rPr>
          <w:rFonts w:hint="default" w:ascii="Times New Roman" w:hAnsi="Times New Roman" w:eastAsia="楷体_GB2312" w:cs="Times New Roman"/>
          <w:sz w:val="28"/>
          <w:szCs w:val="28"/>
        </w:rPr>
        <w:fldChar w:fldCharType="separate"/>
      </w:r>
      <w:r>
        <w:rPr>
          <w:rFonts w:hint="default" w:ascii="Times New Roman" w:hAnsi="Times New Roman" w:eastAsia="楷体_GB2312" w:cs="Times New Roman"/>
          <w:sz w:val="28"/>
          <w:szCs w:val="28"/>
        </w:rPr>
        <w:t>17</w:t>
      </w:r>
      <w:r>
        <w:rPr>
          <w:rFonts w:hint="default" w:ascii="Times New Roman" w:hAnsi="Times New Roman" w:eastAsia="楷体_GB2312" w:cs="Times New Roman"/>
          <w:sz w:val="28"/>
          <w:szCs w:val="28"/>
        </w:rPr>
        <w:fldChar w:fldCharType="end"/>
      </w:r>
      <w:r>
        <w:rPr>
          <w:rFonts w:hint="default" w:ascii="Times New Roman" w:hAnsi="Times New Roman" w:eastAsia="楷体_GB2312" w:cs="Times New Roman"/>
          <w:sz w:val="28"/>
          <w:szCs w:val="28"/>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"_Toc91522488"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二、绩效评价工作开展情况</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_Toc91522488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17</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"_Toc91522489"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（一）绩效评价目的、对象和范围</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_Toc91522489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18</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"_Toc91522490"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（二）绩效评价依据</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_Toc91522490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19</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"_Toc91522491"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（三）评价指标体系</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_Toc91522491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20</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"_Toc91522492"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（四）绩效评价原则、评价方法和标准</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_Toc91522492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22</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"_Toc91522493"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（五）绩效评价工作过程</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_Toc91522493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24</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"_Toc91522494"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三、综合评价情况及评价结论</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_Toc91522494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28</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"_Toc91522495"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（一）综合评价情况</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_Toc91522495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28</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"_Toc91522496"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（二）评价结论</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_Toc91522496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28</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"_Toc91522497"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四、绩效评价指标分析</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_Toc91522497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29</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"_Toc91522498"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（一）项目决策情况</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_Toc91522498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29</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"_Toc91522499"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（二）项目过程情况</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_Toc91522499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31</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"_Toc91522500"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（三）项目产出情况</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_Toc91522500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34</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31"/>
        <w:spacing w:line="500" w:lineRule="exact"/>
        <w:ind w:left="0" w:firstLine="0"/>
        <w:rPr>
          <w:rStyle w:val="45"/>
          <w:rFonts w:hint="default" w:ascii="Times New Roman" w:hAnsi="Times New Roman" w:eastAsia="楷体_GB2312" w:cs="Times New Roman"/>
          <w:sz w:val="28"/>
          <w:szCs w:val="28"/>
          <w:lang w:val="zh-TW" w:eastAsia="zh-TW"/>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"_Toc91522501"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（四）项目效益情况</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zh-TW" w:eastAsia="zh-TW"/>
        </w:rPr>
        <w:fldChar w:fldCharType="begin"/>
      </w:r>
      <w:r>
        <w:rPr>
          <w:rStyle w:val="45"/>
          <w:rFonts w:hint="default" w:ascii="Times New Roman" w:hAnsi="Times New Roman" w:eastAsia="楷体_GB2312" w:cs="Times New Roman"/>
          <w:sz w:val="28"/>
          <w:szCs w:val="28"/>
          <w:lang w:val="zh-TW" w:eastAsia="zh-TW"/>
        </w:rPr>
        <w:instrText xml:space="preserve"> PAGEREF _Toc91522501 \h </w:instrText>
      </w:r>
      <w:r>
        <w:rPr>
          <w:rStyle w:val="45"/>
          <w:rFonts w:hint="default" w:ascii="Times New Roman" w:hAnsi="Times New Roman" w:eastAsia="楷体_GB2312" w:cs="Times New Roman"/>
          <w:sz w:val="28"/>
          <w:szCs w:val="28"/>
          <w:lang w:val="zh-TW" w:eastAsia="zh-TW"/>
        </w:rPr>
        <w:fldChar w:fldCharType="separate"/>
      </w:r>
      <w:r>
        <w:rPr>
          <w:rStyle w:val="45"/>
          <w:rFonts w:hint="default" w:ascii="Times New Roman" w:hAnsi="Times New Roman" w:eastAsia="楷体_GB2312" w:cs="Times New Roman"/>
          <w:sz w:val="28"/>
          <w:szCs w:val="28"/>
          <w:lang w:val="zh-TW" w:eastAsia="zh-TW"/>
        </w:rPr>
        <w:t>38</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zh-TW" w:eastAsia="zh-TW"/>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"_Toc91522502"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五、主要经验及做法、存在的问题及原因分析</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_Toc91522502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39</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spacing w:line="500" w:lineRule="exact"/>
        <w:ind w:left="0" w:firstLine="0"/>
        <w:rPr>
          <w:rStyle w:val="45"/>
          <w:rFonts w:hint="default" w:ascii="Times New Roman" w:hAnsi="Times New Roman" w:eastAsia="楷体_GB2312" w:cs="Times New Roman"/>
          <w:sz w:val="28"/>
          <w:szCs w:val="28"/>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"_Toc91522503"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（一）主要经验及做法</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en-US" w:eastAsia="zh-CN"/>
        </w:rPr>
        <w:t>4</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en-US" w:eastAsia="zh-CN"/>
        </w:rPr>
        <w:t>2</w:t>
      </w:r>
    </w:p>
    <w:p>
      <w:pPr>
        <w:pStyle w:val="31"/>
        <w:spacing w:line="500" w:lineRule="exact"/>
        <w:ind w:left="0" w:firstLine="0"/>
        <w:rPr>
          <w:rStyle w:val="45"/>
          <w:rFonts w:hint="default" w:ascii="Times New Roman" w:hAnsi="Times New Roman" w:eastAsia="楷体_GB2312" w:cs="Times New Roman"/>
          <w:sz w:val="28"/>
          <w:szCs w:val="28"/>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"_Toc91522504" </w:instrText>
      </w:r>
      <w:r>
        <w:rPr>
          <w:rFonts w:hint="default" w:ascii="Times New Roman" w:hAnsi="Times New Roman" w:cs="Times New Roman"/>
        </w:rPr>
        <w:fldChar w:fldCharType="separate"/>
      </w:r>
      <w:r>
        <w:rPr>
          <w:rStyle w:val="45"/>
          <w:rFonts w:hint="default" w:ascii="Times New Roman" w:hAnsi="Times New Roman" w:eastAsia="楷体_GB2312" w:cs="Times New Roman"/>
          <w:sz w:val="28"/>
          <w:szCs w:val="28"/>
          <w:lang w:val="zh-TW" w:eastAsia="zh-TW"/>
        </w:rPr>
        <w:t>（二）存在的问题</w:t>
      </w:r>
      <w:r>
        <w:rPr>
          <w:rStyle w:val="45"/>
          <w:rFonts w:hint="default" w:ascii="Times New Roman" w:hAnsi="Times New Roman" w:eastAsia="楷体_GB2312" w:cs="Times New Roman"/>
          <w:sz w:val="28"/>
          <w:szCs w:val="28"/>
          <w:lang w:val="zh-TW" w:eastAsia="zh-TW"/>
        </w:rPr>
        <w:tab/>
      </w:r>
      <w:r>
        <w:rPr>
          <w:rStyle w:val="45"/>
          <w:rFonts w:hint="default" w:ascii="Times New Roman" w:hAnsi="Times New Roman" w:eastAsia="楷体_GB2312" w:cs="Times New Roman"/>
          <w:sz w:val="28"/>
          <w:szCs w:val="28"/>
          <w:lang w:val="en-US" w:eastAsia="zh-CN"/>
        </w:rPr>
        <w:t>4</w:t>
      </w:r>
      <w:r>
        <w:rPr>
          <w:rStyle w:val="45"/>
          <w:rFonts w:hint="default" w:ascii="Times New Roman" w:hAnsi="Times New Roman" w:eastAsia="楷体_GB2312" w:cs="Times New Roman"/>
          <w:sz w:val="28"/>
          <w:szCs w:val="28"/>
          <w:lang w:val="zh-TW" w:eastAsia="zh-TW"/>
        </w:rPr>
        <w:fldChar w:fldCharType="end"/>
      </w:r>
      <w:r>
        <w:rPr>
          <w:rStyle w:val="45"/>
          <w:rFonts w:hint="default" w:ascii="Times New Roman" w:hAnsi="Times New Roman" w:eastAsia="楷体_GB2312" w:cs="Times New Roman"/>
          <w:sz w:val="28"/>
          <w:szCs w:val="28"/>
          <w:lang w:val="en-US" w:eastAsia="zh-CN"/>
        </w:rPr>
        <w:t>2</w:t>
      </w:r>
    </w:p>
    <w:p>
      <w:pPr>
        <w:pStyle w:val="26"/>
        <w:spacing w:line="500" w:lineRule="exact"/>
        <w:ind w:firstLine="0"/>
        <w:rPr>
          <w:rFonts w:hint="default" w:ascii="Times New Roman" w:hAnsi="Times New Roman" w:eastAsia="黑体" w:cs="Times New Roman"/>
          <w:b w:val="0"/>
          <w:bCs w:val="0"/>
          <w:caps w:val="0"/>
          <w:color w:val="auto"/>
          <w:sz w:val="28"/>
          <w:szCs w:val="28"/>
          <w:lang w:val="en-US" w:eastAsia="zh-C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"_Toc91522505"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六、有关建议</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lang w:val="en-US" w:eastAsia="zh-CN"/>
        </w:rPr>
        <w:t>4</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lang w:val="en-US" w:eastAsia="zh-CN"/>
        </w:rPr>
        <w:t>7</w:t>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"_Toc91522506"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附件1 指标体系表</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_Toc91522506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44</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"_Toc91522507"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 xml:space="preserve">附件2 </w:t>
      </w:r>
      <w:r>
        <w:rPr>
          <w:rStyle w:val="45"/>
          <w:rFonts w:hint="default" w:ascii="Times New Roman" w:hAnsi="Times New Roman" w:eastAsia="黑体" w:cs="Times New Roman"/>
          <w:b w:val="0"/>
          <w:bCs w:val="0"/>
          <w:sz w:val="28"/>
          <w:szCs w:val="28"/>
          <w:lang w:val="en-US" w:eastAsia="zh-CN"/>
        </w:rPr>
        <w:t>基础表</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_Toc91522507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64</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"_Toc91522508"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附件3 访谈提纲</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_Toc91522508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66</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26"/>
        <w:spacing w:line="500" w:lineRule="exact"/>
        <w:ind w:firstLine="0"/>
        <w:rPr>
          <w:rFonts w:hint="default" w:ascii="Times New Roman" w:hAnsi="Times New Roman" w:eastAsia="黑体" w:cs="Times New Roman"/>
          <w:b w:val="0"/>
          <w:bCs w:val="0"/>
          <w:caps w:val="0"/>
          <w:color w:val="auto"/>
          <w:sz w:val="28"/>
          <w:szCs w:val="28"/>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"_Toc91522509" </w:instrText>
      </w:r>
      <w:r>
        <w:rPr>
          <w:rFonts w:hint="default" w:ascii="Times New Roman" w:hAnsi="Times New Roman" w:cs="Times New Roman"/>
        </w:rPr>
        <w:fldChar w:fldCharType="separate"/>
      </w:r>
      <w:r>
        <w:rPr>
          <w:rStyle w:val="45"/>
          <w:rFonts w:hint="default" w:ascii="Times New Roman" w:hAnsi="Times New Roman" w:eastAsia="黑体" w:cs="Times New Roman"/>
          <w:b w:val="0"/>
          <w:bCs w:val="0"/>
          <w:sz w:val="28"/>
          <w:szCs w:val="28"/>
        </w:rPr>
        <w:t>附件4.满意度报告</w:t>
      </w:r>
      <w:r>
        <w:rPr>
          <w:rFonts w:hint="default" w:ascii="Times New Roman" w:hAnsi="Times New Roman" w:eastAsia="黑体" w:cs="Times New Roman"/>
          <w:b w:val="0"/>
          <w:bCs w:val="0"/>
          <w:sz w:val="28"/>
          <w:szCs w:val="28"/>
        </w:rPr>
        <w:tab/>
      </w:r>
      <w:r>
        <w:rPr>
          <w:rFonts w:hint="default" w:ascii="Times New Roman" w:hAnsi="Times New Roman" w:eastAsia="黑体" w:cs="Times New Roman"/>
          <w:b w:val="0"/>
          <w:bCs w:val="0"/>
          <w:sz w:val="28"/>
          <w:szCs w:val="28"/>
        </w:rPr>
        <w:fldChar w:fldCharType="begin"/>
      </w:r>
      <w:r>
        <w:rPr>
          <w:rFonts w:hint="default" w:ascii="Times New Roman" w:hAnsi="Times New Roman" w:eastAsia="黑体" w:cs="Times New Roman"/>
          <w:b w:val="0"/>
          <w:bCs w:val="0"/>
          <w:sz w:val="28"/>
          <w:szCs w:val="28"/>
        </w:rPr>
        <w:instrText xml:space="preserve"> PAGEREF _Toc91522509 \h </w:instrText>
      </w:r>
      <w:r>
        <w:rPr>
          <w:rFonts w:hint="default" w:ascii="Times New Roman" w:hAnsi="Times New Roman" w:eastAsia="黑体" w:cs="Times New Roman"/>
          <w:b w:val="0"/>
          <w:bCs w:val="0"/>
          <w:sz w:val="28"/>
          <w:szCs w:val="28"/>
        </w:rPr>
        <w:fldChar w:fldCharType="separate"/>
      </w:r>
      <w:r>
        <w:rPr>
          <w:rFonts w:hint="default" w:ascii="Times New Roman" w:hAnsi="Times New Roman" w:eastAsia="黑体" w:cs="Times New Roman"/>
          <w:b w:val="0"/>
          <w:bCs w:val="0"/>
          <w:sz w:val="28"/>
          <w:szCs w:val="28"/>
        </w:rPr>
        <w:t>67</w:t>
      </w:r>
      <w:r>
        <w:rPr>
          <w:rFonts w:hint="default" w:ascii="Times New Roman" w:hAnsi="Times New Roman" w:eastAsia="黑体" w:cs="Times New Roman"/>
          <w:b w:val="0"/>
          <w:bCs w:val="0"/>
          <w:sz w:val="28"/>
          <w:szCs w:val="28"/>
        </w:rPr>
        <w:fldChar w:fldCharType="end"/>
      </w:r>
      <w:r>
        <w:rPr>
          <w:rFonts w:hint="default" w:ascii="Times New Roman" w:hAnsi="Times New Roman" w:eastAsia="黑体" w:cs="Times New Roman"/>
          <w:b w:val="0"/>
          <w:bCs w:val="0"/>
          <w:sz w:val="28"/>
          <w:szCs w:val="28"/>
        </w:rPr>
        <w:fldChar w:fldCharType="end"/>
      </w:r>
    </w:p>
    <w:p>
      <w:pPr>
        <w:pStyle w:val="31"/>
        <w:tabs>
          <w:tab w:val="right" w:leader="dot" w:pos="8504"/>
          <w:tab w:val="clear" w:pos="8302"/>
        </w:tabs>
        <w:spacing w:line="500" w:lineRule="exact"/>
        <w:ind w:left="0" w:firstLine="0"/>
        <w:rPr>
          <w:rFonts w:hint="default" w:ascii="Times New Roman" w:hAnsi="Times New Roman" w:eastAsia="黑体" w:cs="Times New Roman"/>
          <w:smallCaps w:val="0"/>
          <w:sz w:val="28"/>
          <w:szCs w:val="28"/>
        </w:rPr>
        <w:sectPr>
          <w:footerReference r:id="rId13" w:type="default"/>
          <w:footerReference r:id="rId14" w:type="even"/>
          <w:footnotePr>
            <w:numRestart w:val="eachPage"/>
          </w:footnotePr>
          <w:pgSz w:w="11906" w:h="16838"/>
          <w:pgMar w:top="1304" w:right="1701" w:bottom="1304" w:left="1701" w:header="0" w:footer="0" w:gutter="0"/>
          <w:pgNumType w:start="1"/>
          <w:cols w:space="720" w:num="1"/>
          <w:docGrid w:type="lines" w:linePitch="435" w:charSpace="0"/>
        </w:sectPr>
      </w:pPr>
    </w:p>
    <w:p>
      <w:pPr>
        <w:pStyle w:val="31"/>
        <w:tabs>
          <w:tab w:val="right" w:leader="dot" w:pos="8504"/>
          <w:tab w:val="clear" w:pos="8302"/>
        </w:tabs>
        <w:spacing w:line="500" w:lineRule="exact"/>
        <w:ind w:left="0" w:firstLine="0"/>
        <w:rPr>
          <w:rFonts w:hint="default" w:ascii="Times New Roman" w:hAnsi="Times New Roman" w:eastAsia="黑体" w:cs="Times New Roman"/>
          <w:smallCaps w:val="0"/>
          <w:sz w:val="28"/>
          <w:szCs w:val="28"/>
        </w:rPr>
      </w:pPr>
      <w:r>
        <w:rPr>
          <w:rFonts w:hint="default" w:ascii="Times New Roman" w:hAnsi="Times New Roman" w:eastAsia="黑体" w:cs="Times New Roman"/>
          <w:smallCaps w:val="0"/>
          <w:sz w:val="28"/>
          <w:szCs w:val="28"/>
        </w:rPr>
        <w:fldChar w:fldCharType="end"/>
      </w:r>
    </w:p>
    <w:p>
      <w:pPr>
        <w:pStyle w:val="26"/>
        <w:spacing w:line="440" w:lineRule="exact"/>
        <w:ind w:firstLine="0"/>
        <w:rPr>
          <w:rFonts w:hint="default" w:ascii="Times New Roman" w:hAnsi="Times New Roman" w:cs="Times New Roman"/>
          <w:b w:val="0"/>
          <w:bCs w:val="0"/>
          <w:caps w:val="0"/>
          <w:sz w:val="28"/>
          <w:szCs w:val="28"/>
        </w:rPr>
      </w:pPr>
    </w:p>
    <w:p>
      <w:pPr>
        <w:pStyle w:val="26"/>
        <w:spacing w:line="440" w:lineRule="exact"/>
        <w:ind w:firstLine="0"/>
        <w:rPr>
          <w:rFonts w:hint="default" w:ascii="Times New Roman" w:hAnsi="Times New Roman" w:cs="Times New Roman"/>
          <w:b w:val="0"/>
          <w:bCs w:val="0"/>
          <w:caps w:val="0"/>
          <w:sz w:val="28"/>
          <w:szCs w:val="28"/>
        </w:rPr>
      </w:pPr>
    </w:p>
    <w:p>
      <w:pPr>
        <w:pStyle w:val="26"/>
        <w:spacing w:line="400" w:lineRule="exact"/>
        <w:ind w:firstLine="0"/>
        <w:rPr>
          <w:rFonts w:hint="default" w:ascii="Times New Roman" w:hAnsi="Times New Roman" w:cs="Times New Roman"/>
          <w:b w:val="0"/>
          <w:bCs w:val="0"/>
          <w:caps w:val="0"/>
          <w:sz w:val="28"/>
          <w:szCs w:val="28"/>
        </w:rPr>
      </w:pPr>
    </w:p>
    <w:p>
      <w:pPr>
        <w:pStyle w:val="26"/>
        <w:spacing w:line="400" w:lineRule="exact"/>
        <w:ind w:firstLine="0"/>
        <w:rPr>
          <w:rFonts w:hint="default" w:ascii="Times New Roman" w:hAnsi="Times New Roman" w:cs="Times New Roman"/>
          <w:b w:val="0"/>
          <w:bCs w:val="0"/>
          <w:caps w:val="0"/>
          <w:sz w:val="28"/>
          <w:szCs w:val="28"/>
        </w:rPr>
      </w:pPr>
    </w:p>
    <w:p>
      <w:pPr>
        <w:pStyle w:val="26"/>
        <w:spacing w:line="400" w:lineRule="exact"/>
        <w:ind w:firstLine="0"/>
        <w:rPr>
          <w:rFonts w:hint="default" w:ascii="Times New Roman" w:hAnsi="Times New Roman" w:cs="Times New Roman"/>
          <w:b w:val="0"/>
          <w:bCs w:val="0"/>
          <w:caps w:val="0"/>
          <w:sz w:val="28"/>
          <w:szCs w:val="28"/>
        </w:rPr>
      </w:pPr>
    </w:p>
    <w:p>
      <w:pPr>
        <w:pStyle w:val="26"/>
        <w:spacing w:line="400" w:lineRule="exact"/>
        <w:ind w:firstLine="0"/>
        <w:rPr>
          <w:rFonts w:hint="default" w:ascii="Times New Roman" w:hAnsi="Times New Roman" w:cs="Times New Roman"/>
          <w:b w:val="0"/>
          <w:bCs w:val="0"/>
          <w:caps w:val="0"/>
        </w:rPr>
      </w:pPr>
    </w:p>
    <w:p>
      <w:pPr>
        <w:pStyle w:val="26"/>
        <w:spacing w:line="400" w:lineRule="exact"/>
        <w:rPr>
          <w:rFonts w:hint="default" w:ascii="Times New Roman" w:hAnsi="Times New Roman" w:eastAsia="黑体" w:cs="Times New Roman"/>
          <w:caps w:val="0"/>
          <w:sz w:val="22"/>
        </w:rPr>
        <w:sectPr>
          <w:footerReference r:id="rId15" w:type="default"/>
          <w:footerReference r:id="rId16" w:type="even"/>
          <w:footnotePr>
            <w:numRestart w:val="eachPage"/>
          </w:footnotePr>
          <w:pgSz w:w="11906" w:h="16838"/>
          <w:pgMar w:top="1304" w:right="1701" w:bottom="1304" w:left="1701" w:header="0" w:footer="0" w:gutter="0"/>
          <w:pgNumType w:start="1"/>
          <w:cols w:space="720" w:num="1"/>
          <w:docGrid w:type="lines" w:linePitch="435" w:charSpace="0"/>
        </w:sectPr>
      </w:pPr>
    </w:p>
    <w:p>
      <w:pPr>
        <w:pStyle w:val="3"/>
        <w:ind w:firstLine="0" w:firstLineChars="0"/>
        <w:jc w:val="center"/>
        <w:rPr>
          <w:rFonts w:hint="default" w:ascii="Times New Roman" w:hAnsi="Times New Roman" w:cs="Times New Roman"/>
        </w:rPr>
      </w:pPr>
      <w:bookmarkStart w:id="1" w:name="_Toc90892114"/>
      <w:bookmarkStart w:id="2" w:name="_Toc91522484"/>
      <w:bookmarkStart w:id="3" w:name="_Toc482732794"/>
      <w:bookmarkStart w:id="4" w:name="_Toc482707758"/>
      <w:bookmarkStart w:id="5" w:name="_Toc482707620"/>
      <w:r>
        <w:rPr>
          <w:rFonts w:hint="default" w:ascii="Times New Roman" w:hAnsi="Times New Roman" w:cs="Times New Roman"/>
        </w:rPr>
        <w:t>摘 要</w:t>
      </w:r>
      <w:bookmarkEnd w:id="1"/>
      <w:bookmarkEnd w:id="2"/>
    </w:p>
    <w:p>
      <w:pPr>
        <w:widowControl w:val="0"/>
        <w:ind w:firstLine="640"/>
        <w:outlineLvl w:val="0"/>
        <w:rPr>
          <w:rFonts w:hint="default" w:ascii="Times New Roman" w:hAnsi="Times New Roman" w:eastAsia="黑体" w:cs="Times New Roman"/>
          <w:kern w:val="2"/>
          <w:szCs w:val="32"/>
          <w:highlight w:val="none"/>
          <w:lang w:bidi="ar"/>
        </w:rPr>
      </w:pPr>
      <w:bookmarkStart w:id="6" w:name="_Toc3308"/>
      <w:bookmarkStart w:id="7" w:name="_Toc23799"/>
      <w:bookmarkStart w:id="8" w:name="_Toc17211"/>
    </w:p>
    <w:p>
      <w:pPr>
        <w:widowControl w:val="0"/>
        <w:ind w:firstLine="640"/>
        <w:outlineLvl w:val="0"/>
        <w:rPr>
          <w:rFonts w:hint="default" w:ascii="Times New Roman" w:hAnsi="Times New Roman" w:eastAsia="黑体" w:cs="Times New Roman"/>
          <w:szCs w:val="32"/>
          <w:highlight w:val="none"/>
        </w:rPr>
      </w:pPr>
      <w:r>
        <w:rPr>
          <w:rFonts w:hint="default" w:ascii="Times New Roman" w:hAnsi="Times New Roman" w:eastAsia="黑体" w:cs="Times New Roman"/>
          <w:kern w:val="2"/>
          <w:szCs w:val="32"/>
          <w:highlight w:val="none"/>
          <w:lang w:bidi="ar"/>
        </w:rPr>
        <w:t>一、项目概况</w:t>
      </w:r>
      <w:bookmarkEnd w:id="6"/>
      <w:bookmarkEnd w:id="7"/>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为贯彻落实《新乡市人民政府办公室关于印发2014年度全市碧水工程工作实施方案的通知》</w:t>
      </w:r>
      <w:r>
        <w:rPr>
          <w:rFonts w:hint="default" w:ascii="Times New Roman" w:hAnsi="Times New Roman" w:cs="Times New Roman"/>
          <w:kern w:val="2"/>
          <w:highlight w:val="none"/>
          <w:lang w:eastAsia="zh-CN" w:bidi="ar"/>
        </w:rPr>
        <w:t>（</w:t>
      </w:r>
      <w:r>
        <w:rPr>
          <w:rFonts w:hint="default" w:ascii="Times New Roman" w:hAnsi="Times New Roman" w:cs="Times New Roman"/>
          <w:kern w:val="2"/>
          <w:highlight w:val="none"/>
          <w:lang w:bidi="ar"/>
        </w:rPr>
        <w:t>新政办〔2014〕74号</w:t>
      </w:r>
      <w:r>
        <w:rPr>
          <w:rFonts w:hint="default" w:ascii="Times New Roman" w:hAnsi="Times New Roman" w:cs="Times New Roman"/>
          <w:kern w:val="2"/>
          <w:highlight w:val="none"/>
          <w:lang w:eastAsia="zh-CN" w:bidi="ar"/>
        </w:rPr>
        <w:t>）</w:t>
      </w:r>
      <w:r>
        <w:rPr>
          <w:rFonts w:hint="default" w:ascii="Times New Roman" w:hAnsi="Times New Roman" w:cs="Times New Roman"/>
          <w:kern w:val="2"/>
          <w:highlight w:val="none"/>
          <w:lang w:bidi="ar"/>
        </w:rPr>
        <w:t>要求，推进美丽新乡建设，加快开展新乡市河流综合整治，新乡市人民政府制定《新乡市城市河流清洁行动计划实施方案》。新乡市市区河渠综合事务中心（以下简称“市河渠中心”）负责城市河流清洁行动计划具体工作。为深化河道养护作业市场化改革，落实管养分离，提升养护作业水平，市河渠中心2012年开始试点市区河渠市场化养护工作，（用于社会化养护的面积分别为41.2万平方米和43.4</w:t>
      </w:r>
      <w:r>
        <w:rPr>
          <w:rFonts w:hint="default" w:ascii="Times New Roman" w:hAnsi="Times New Roman" w:cs="Times New Roman"/>
          <w:kern w:val="2"/>
          <w:highlight w:val="none"/>
          <w:lang w:val="en-US" w:eastAsia="zh-CN" w:bidi="ar"/>
        </w:rPr>
        <w:t>3</w:t>
      </w:r>
      <w:r>
        <w:rPr>
          <w:rFonts w:hint="default" w:ascii="Times New Roman" w:hAnsi="Times New Roman" w:cs="Times New Roman"/>
          <w:kern w:val="2"/>
          <w:highlight w:val="none"/>
          <w:lang w:bidi="ar"/>
        </w:rPr>
        <w:t>万平方米，占比分别为38.6%、47.68%。）并于2022年继续设立“市区河渠社会化养护”项目，进行社会化养护的河段包括卫河1个河段、赵定河6个河段。</w:t>
      </w:r>
    </w:p>
    <w:p>
      <w:pPr>
        <w:widowControl w:val="0"/>
        <w:ind w:firstLine="640"/>
        <w:rPr>
          <w:rFonts w:hint="default" w:ascii="Times New Roman" w:hAnsi="Times New Roman" w:eastAsia="宋体" w:cs="Times New Roman"/>
          <w:kern w:val="2"/>
          <w:sz w:val="21"/>
          <w:szCs w:val="24"/>
          <w:highlight w:val="none"/>
        </w:rPr>
      </w:pPr>
      <w:r>
        <w:rPr>
          <w:rFonts w:hint="default" w:ascii="Times New Roman" w:hAnsi="Times New Roman" w:cs="Times New Roman"/>
          <w:kern w:val="2"/>
          <w:highlight w:val="none"/>
          <w:lang w:bidi="ar"/>
        </w:rPr>
        <w:t>市河渠中心通过一招签三年确定6家单位对7个河段的养护工作。主要养护内容包括：绿化养护、岸坡保洁、水面保洁、设施养护等。养护标准依据《新乡市市区河渠综合事务社会化养护管理标准》，监督考核标准依据《新乡市河渠综合管理办公室社会化管理养护督察考评暂行办法》。中标单位共配置103名养护人员。</w:t>
      </w:r>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2022年，市河渠中心依据合同付款条件申请预算资金558.13万元，财政批复279.06万元；年中因招标申请追加100万元。截至评价报告出具日，共到位资金379.06万元，支出</w:t>
      </w:r>
      <w:r>
        <w:rPr>
          <w:rFonts w:hint="default" w:ascii="Times New Roman" w:hAnsi="Times New Roman" w:cs="Times New Roman"/>
          <w:kern w:val="2"/>
          <w:highlight w:val="none"/>
          <w:lang w:val="en-US" w:eastAsia="zh-CN" w:bidi="ar"/>
        </w:rPr>
        <w:t>379.06</w:t>
      </w:r>
      <w:r>
        <w:rPr>
          <w:rFonts w:hint="default" w:ascii="Times New Roman" w:hAnsi="Times New Roman" w:cs="Times New Roman"/>
          <w:kern w:val="2"/>
          <w:highlight w:val="none"/>
          <w:lang w:bidi="ar"/>
        </w:rPr>
        <w:t>万元，预算执行率</w:t>
      </w:r>
      <w:r>
        <w:rPr>
          <w:rFonts w:hint="default" w:ascii="Times New Roman" w:hAnsi="Times New Roman" w:cs="Times New Roman"/>
          <w:kern w:val="2"/>
          <w:highlight w:val="none"/>
          <w:lang w:val="en-US" w:eastAsia="zh-CN" w:bidi="ar"/>
        </w:rPr>
        <w:t>100</w:t>
      </w:r>
      <w:r>
        <w:rPr>
          <w:rFonts w:hint="default" w:ascii="Times New Roman" w:hAnsi="Times New Roman" w:cs="Times New Roman"/>
          <w:kern w:val="2"/>
          <w:highlight w:val="none"/>
          <w:lang w:bidi="ar"/>
        </w:rPr>
        <w:t>%，全部用于支付卫河1个河段、赵定河6个河段的社会化日常养护费用。</w:t>
      </w:r>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市河渠中心负责项目预算的编制和申请，开展招投标工作，确定养护单位，签订养护合同。按季度组织验收，出具验收报告，并依据验收报告支付养护费用；河南龙安园林绿化工程有限公司、焦作市晓尚园林有限公司、新乡市园林绿化工程有限公司等</w:t>
      </w:r>
      <w:r>
        <w:rPr>
          <w:rFonts w:hint="default" w:ascii="Times New Roman" w:hAnsi="Times New Roman" w:cs="Times New Roman"/>
          <w:kern w:val="2"/>
          <w:highlight w:val="none"/>
          <w:lang w:val="en-US" w:eastAsia="zh-CN" w:bidi="ar"/>
        </w:rPr>
        <w:t>6</w:t>
      </w:r>
      <w:r>
        <w:rPr>
          <w:rFonts w:hint="default" w:ascii="Times New Roman" w:hAnsi="Times New Roman" w:cs="Times New Roman"/>
          <w:kern w:val="2"/>
          <w:highlight w:val="none"/>
          <w:lang w:bidi="ar"/>
        </w:rPr>
        <w:t>家中标单位，负责按照项目单位的要求开展养护工作，确保养护河面、绿地面积清洁，设施设备可以正常使用，配合项目单位验收。</w:t>
      </w:r>
    </w:p>
    <w:p>
      <w:pPr>
        <w:widowControl w:val="0"/>
        <w:ind w:firstLine="707" w:firstLineChars="221"/>
        <w:outlineLvl w:val="0"/>
        <w:rPr>
          <w:rFonts w:hint="default" w:ascii="Times New Roman" w:hAnsi="Times New Roman" w:eastAsia="黑体" w:cs="Times New Roman"/>
          <w:szCs w:val="32"/>
          <w:highlight w:val="none"/>
        </w:rPr>
      </w:pPr>
      <w:bookmarkStart w:id="9" w:name="_Toc14898"/>
      <w:bookmarkStart w:id="10" w:name="_Toc30389"/>
      <w:r>
        <w:rPr>
          <w:rFonts w:hint="default" w:ascii="Times New Roman" w:hAnsi="Times New Roman" w:eastAsia="黑体" w:cs="Times New Roman"/>
          <w:kern w:val="2"/>
          <w:szCs w:val="32"/>
          <w:highlight w:val="none"/>
          <w:lang w:bidi="ar"/>
        </w:rPr>
        <w:t>二、评价工作开展情况</w:t>
      </w:r>
      <w:bookmarkEnd w:id="9"/>
      <w:bookmarkEnd w:id="10"/>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评价组自2022</w:t>
      </w:r>
      <w:r>
        <w:rPr>
          <w:rFonts w:hint="default" w:ascii="Times New Roman" w:hAnsi="Times New Roman" w:cs="Times New Roman"/>
          <w:kern w:val="2"/>
          <w:highlight w:val="none"/>
          <w:lang w:eastAsia="zh-CN" w:bidi="ar"/>
        </w:rPr>
        <w:t>年4月</w:t>
      </w:r>
      <w:r>
        <w:rPr>
          <w:rFonts w:hint="default" w:ascii="Times New Roman" w:hAnsi="Times New Roman" w:cs="Times New Roman"/>
          <w:kern w:val="2"/>
          <w:highlight w:val="none"/>
          <w:lang w:bidi="ar"/>
        </w:rPr>
        <w:t>承接本项目后，通过前期调研、评价思路定位和所内方案评审等关键环节，形成本次绩效评价关注点：</w:t>
      </w:r>
      <w:r>
        <w:rPr>
          <w:rFonts w:hint="default" w:ascii="Times New Roman" w:hAnsi="Times New Roman" w:cs="Times New Roman"/>
          <w:b/>
          <w:bCs/>
          <w:kern w:val="2"/>
          <w:highlight w:val="none"/>
          <w:lang w:bidi="ar"/>
        </w:rPr>
        <w:t>一是</w:t>
      </w:r>
      <w:r>
        <w:rPr>
          <w:rFonts w:hint="default" w:ascii="Times New Roman" w:hAnsi="Times New Roman" w:cs="Times New Roman"/>
          <w:kern w:val="2"/>
          <w:highlight w:val="none"/>
          <w:lang w:bidi="ar"/>
        </w:rPr>
        <w:t>政府采购流程的规范性、合同价格确定的标准及标准的合理性、验收规范性。</w:t>
      </w:r>
      <w:r>
        <w:rPr>
          <w:rFonts w:hint="default" w:ascii="Times New Roman" w:hAnsi="Times New Roman" w:cs="Times New Roman"/>
          <w:b/>
          <w:bCs/>
          <w:kern w:val="2"/>
          <w:highlight w:val="none"/>
          <w:lang w:bidi="ar"/>
        </w:rPr>
        <w:t>二是</w:t>
      </w:r>
      <w:r>
        <w:rPr>
          <w:rFonts w:hint="default" w:ascii="Times New Roman" w:hAnsi="Times New Roman" w:cs="Times New Roman"/>
          <w:kern w:val="2"/>
          <w:highlight w:val="none"/>
          <w:lang w:bidi="ar"/>
        </w:rPr>
        <w:t>对项目承接单位组织实施养护内容执行的有效性进行分析，客观评价项目绩效，项目实施质量的可控性，是否存在标准执行不到位情况。</w:t>
      </w:r>
      <w:r>
        <w:rPr>
          <w:rFonts w:hint="default" w:ascii="Times New Roman" w:hAnsi="Times New Roman" w:cs="Times New Roman"/>
          <w:b/>
          <w:bCs/>
          <w:kern w:val="2"/>
          <w:highlight w:val="none"/>
          <w:lang w:bidi="ar"/>
        </w:rPr>
        <w:t>三是</w:t>
      </w:r>
      <w:r>
        <w:rPr>
          <w:rFonts w:hint="default" w:ascii="Times New Roman" w:hAnsi="Times New Roman" w:cs="Times New Roman"/>
          <w:kern w:val="2"/>
          <w:highlight w:val="none"/>
          <w:lang w:bidi="ar"/>
        </w:rPr>
        <w:t>对项目预期效果目标的达成情况，依据行业标准判断，分析有无过度配置的情况，判断财政投入的经济性与效益性。</w:t>
      </w:r>
    </w:p>
    <w:p>
      <w:pPr>
        <w:widowControl w:val="0"/>
        <w:ind w:firstLine="640"/>
        <w:rPr>
          <w:rFonts w:hint="default" w:ascii="Times New Roman" w:hAnsi="Times New Roman" w:eastAsia="黑体" w:cs="Times New Roman"/>
          <w:kern w:val="2"/>
          <w:szCs w:val="32"/>
          <w:highlight w:val="none"/>
          <w:lang w:bidi="ar"/>
        </w:rPr>
      </w:pPr>
      <w:r>
        <w:rPr>
          <w:rFonts w:hint="default" w:ascii="Times New Roman" w:hAnsi="Times New Roman" w:cs="Times New Roman"/>
          <w:kern w:val="2"/>
          <w:highlight w:val="none"/>
          <w:lang w:bidi="ar"/>
        </w:rPr>
        <w:t>评价组围绕项目评价关注重点，以实施效果为导向设计本项目绩效评价指标体系，通过文件资料审阅、行业专家访谈、实地踏勘和现场走访等方法开展调研。期间，访谈项目主管部门，了解项目预算编制的依据、资金使用效果；访谈市河渠中心相关的业务及财务负责人，分析合同价格签订的合理性、目标任务完成的满意度、预算及支出的合理性；抽查台账等材料，了解实际管理情况。在此基础上，按照指标体系对相关数据信息进行汇总分析，形成该项目2022年度的绩效评价报告</w:t>
      </w:r>
      <w:r>
        <w:rPr>
          <w:rFonts w:hint="default" w:ascii="Times New Roman" w:hAnsi="Times New Roman" w:cs="Times New Roman"/>
          <w:kern w:val="2"/>
          <w:szCs w:val="24"/>
          <w:highlight w:val="none"/>
          <w:lang w:bidi="ar"/>
        </w:rPr>
        <w:t>。</w:t>
      </w:r>
    </w:p>
    <w:p>
      <w:pPr>
        <w:widowControl w:val="0"/>
        <w:ind w:firstLine="640"/>
        <w:outlineLvl w:val="0"/>
        <w:rPr>
          <w:rFonts w:hint="default" w:ascii="Times New Roman" w:hAnsi="Times New Roman" w:eastAsia="黑体" w:cs="Times New Roman"/>
          <w:szCs w:val="32"/>
          <w:highlight w:val="none"/>
        </w:rPr>
      </w:pPr>
      <w:bookmarkStart w:id="11" w:name="_Toc27132"/>
      <w:bookmarkStart w:id="12" w:name="_Toc16864"/>
      <w:r>
        <w:rPr>
          <w:rFonts w:hint="default" w:ascii="Times New Roman" w:hAnsi="Times New Roman" w:eastAsia="黑体" w:cs="Times New Roman"/>
          <w:kern w:val="2"/>
          <w:szCs w:val="32"/>
          <w:highlight w:val="none"/>
          <w:lang w:bidi="ar"/>
        </w:rPr>
        <w:t>三、绩效分析</w:t>
      </w:r>
      <w:bookmarkEnd w:id="11"/>
      <w:bookmarkEnd w:id="12"/>
    </w:p>
    <w:p>
      <w:pPr>
        <w:widowControl w:val="0"/>
        <w:ind w:firstLine="643"/>
        <w:rPr>
          <w:rFonts w:hint="default" w:ascii="Times New Roman" w:hAnsi="Times New Roman" w:cs="Times New Roman"/>
          <w:kern w:val="2"/>
          <w:highlight w:val="none"/>
          <w:lang w:val="en-US" w:bidi="ar"/>
        </w:rPr>
      </w:pPr>
      <w:r>
        <w:rPr>
          <w:rFonts w:hint="default" w:ascii="Times New Roman" w:hAnsi="Times New Roman" w:cs="Times New Roman"/>
          <w:b/>
          <w:bCs/>
          <w:kern w:val="2"/>
          <w:highlight w:val="none"/>
          <w:lang w:bidi="ar"/>
        </w:rPr>
        <w:t>一是</w:t>
      </w:r>
      <w:r>
        <w:rPr>
          <w:rFonts w:hint="default" w:ascii="Times New Roman" w:hAnsi="Times New Roman" w:cs="Times New Roman"/>
          <w:kern w:val="2"/>
          <w:highlight w:val="none"/>
          <w:lang w:bidi="ar"/>
        </w:rPr>
        <w:t>从</w:t>
      </w:r>
      <w:r>
        <w:rPr>
          <w:rFonts w:hint="default" w:ascii="Times New Roman" w:hAnsi="Times New Roman" w:cs="Times New Roman"/>
          <w:kern w:val="2"/>
          <w:highlight w:val="none"/>
          <w:lang w:val="en-US" w:eastAsia="zh-CN" w:bidi="ar"/>
        </w:rPr>
        <w:t>养护成果来看，实施河渠养护有效提升了城市形象</w:t>
      </w:r>
      <w:r>
        <w:rPr>
          <w:rFonts w:hint="default" w:ascii="Times New Roman" w:hAnsi="Times New Roman" w:cs="Times New Roman"/>
          <w:kern w:val="2"/>
          <w:highlight w:val="none"/>
          <w:lang w:bidi="ar"/>
        </w:rPr>
        <w:t>。</w:t>
      </w:r>
      <w:r>
        <w:rPr>
          <w:rFonts w:hint="default" w:ascii="Times New Roman" w:hAnsi="Times New Roman" w:cs="Times New Roman"/>
          <w:b/>
          <w:bCs/>
          <w:kern w:val="2"/>
          <w:highlight w:val="none"/>
          <w:lang w:bidi="ar"/>
        </w:rPr>
        <w:t>二是</w:t>
      </w:r>
      <w:r>
        <w:rPr>
          <w:rFonts w:hint="default" w:ascii="Times New Roman" w:hAnsi="Times New Roman" w:cs="Times New Roman"/>
          <w:kern w:val="2"/>
          <w:highlight w:val="none"/>
          <w:lang w:bidi="ar"/>
        </w:rPr>
        <w:t>从要实现的目标看，市场化模式和自主养护模式，可以达到同样的社会效果目标。</w:t>
      </w:r>
      <w:r>
        <w:rPr>
          <w:rFonts w:hint="default" w:ascii="Times New Roman" w:hAnsi="Times New Roman" w:cs="Times New Roman"/>
          <w:b/>
          <w:bCs/>
          <w:kern w:val="2"/>
          <w:highlight w:val="none"/>
          <w:lang w:bidi="ar"/>
        </w:rPr>
        <w:t>三是</w:t>
      </w:r>
      <w:r>
        <w:rPr>
          <w:rFonts w:hint="default" w:ascii="Times New Roman" w:hAnsi="Times New Roman" w:cs="Times New Roman"/>
          <w:kern w:val="2"/>
          <w:highlight w:val="none"/>
          <w:lang w:bidi="ar"/>
        </w:rPr>
        <w:t>从项目成本控制方面看，</w:t>
      </w:r>
      <w:r>
        <w:rPr>
          <w:rFonts w:hint="default" w:ascii="Times New Roman" w:hAnsi="Times New Roman" w:cs="Times New Roman"/>
          <w:kern w:val="2"/>
          <w:highlight w:val="none"/>
          <w:lang w:val="en-US" w:eastAsia="zh-CN" w:bidi="ar"/>
        </w:rPr>
        <w:t>项目运行多年，实施单位未结合</w:t>
      </w:r>
      <w:r>
        <w:rPr>
          <w:rFonts w:hint="default" w:ascii="Times New Roman" w:hAnsi="Times New Roman" w:cs="Times New Roman"/>
          <w:kern w:val="2"/>
          <w:szCs w:val="32"/>
          <w:highlight w:val="none"/>
          <w:lang w:val="en-US" w:eastAsia="zh-CN"/>
        </w:rPr>
        <w:t>运行现状及现有可调配资源开展成本效益分析。</w:t>
      </w:r>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2022年，6家养护单位完成了7个河段的社会化养护工作，年度内绿地养护面积41.2万㎡；水面养护面积43.</w:t>
      </w:r>
      <w:r>
        <w:rPr>
          <w:rFonts w:hint="default" w:ascii="Times New Roman" w:hAnsi="Times New Roman" w:cs="Times New Roman"/>
          <w:kern w:val="2"/>
          <w:highlight w:val="none"/>
          <w:lang w:val="en-US" w:eastAsia="zh-CN" w:bidi="ar"/>
        </w:rPr>
        <w:t>43</w:t>
      </w:r>
      <w:r>
        <w:rPr>
          <w:rFonts w:hint="default" w:ascii="Times New Roman" w:hAnsi="Times New Roman" w:cs="Times New Roman"/>
          <w:kern w:val="2"/>
          <w:highlight w:val="none"/>
          <w:lang w:bidi="ar"/>
        </w:rPr>
        <w:t>万㎡。项目的实施有效提升了沿河两岸的环境卫生质量，人居环境明显改善。</w:t>
      </w:r>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但项目在实施中还</w:t>
      </w:r>
      <w:r>
        <w:rPr>
          <w:rFonts w:hint="default" w:ascii="Times New Roman" w:hAnsi="Times New Roman" w:cs="Times New Roman"/>
          <w:kern w:val="2"/>
          <w:highlight w:val="none"/>
          <w:lang w:eastAsia="zh-CN" w:bidi="ar"/>
        </w:rPr>
        <w:t>存在</w:t>
      </w:r>
      <w:r>
        <w:rPr>
          <w:rFonts w:hint="default" w:ascii="Times New Roman" w:hAnsi="Times New Roman" w:cs="Times New Roman"/>
          <w:kern w:val="2"/>
          <w:highlight w:val="none"/>
          <w:lang w:val="en-US" w:eastAsia="zh-CN" w:bidi="ar"/>
        </w:rPr>
        <w:t>预算依据不合理</w:t>
      </w:r>
      <w:r>
        <w:rPr>
          <w:rFonts w:hint="default" w:ascii="Times New Roman" w:hAnsi="Times New Roman" w:cs="Times New Roman"/>
          <w:kern w:val="2"/>
          <w:highlight w:val="none"/>
          <w:lang w:bidi="ar"/>
        </w:rPr>
        <w:t>、月评比及考核验收不严谨、绩效目标填写不</w:t>
      </w:r>
      <w:r>
        <w:rPr>
          <w:rFonts w:hint="default" w:ascii="Times New Roman" w:hAnsi="Times New Roman" w:cs="Times New Roman"/>
          <w:kern w:val="2"/>
          <w:highlight w:val="none"/>
          <w:lang w:val="en-US" w:eastAsia="zh-CN" w:bidi="ar"/>
        </w:rPr>
        <w:t>规范</w:t>
      </w:r>
      <w:r>
        <w:rPr>
          <w:rFonts w:hint="default" w:ascii="Times New Roman" w:hAnsi="Times New Roman" w:cs="Times New Roman"/>
          <w:kern w:val="2"/>
          <w:highlight w:val="none"/>
          <w:lang w:bidi="ar"/>
        </w:rPr>
        <w:t>、中长期规划缺失等问题。</w:t>
      </w:r>
    </w:p>
    <w:p>
      <w:pPr>
        <w:widowControl w:val="0"/>
        <w:ind w:firstLine="640"/>
        <w:outlineLvl w:val="0"/>
        <w:rPr>
          <w:rFonts w:hint="default" w:ascii="Times New Roman" w:hAnsi="Times New Roman" w:eastAsia="黑体" w:cs="Times New Roman"/>
          <w:szCs w:val="32"/>
          <w:highlight w:val="none"/>
        </w:rPr>
      </w:pPr>
      <w:bookmarkStart w:id="13" w:name="_Toc22862"/>
      <w:bookmarkStart w:id="14" w:name="_Toc21827"/>
      <w:bookmarkStart w:id="15" w:name="_Toc20911"/>
      <w:r>
        <w:rPr>
          <w:rFonts w:hint="default" w:ascii="Times New Roman" w:hAnsi="Times New Roman" w:eastAsia="黑体" w:cs="Times New Roman"/>
          <w:kern w:val="2"/>
          <w:szCs w:val="32"/>
          <w:highlight w:val="none"/>
          <w:lang w:bidi="ar"/>
        </w:rPr>
        <w:t>四、经验与问题</w:t>
      </w:r>
      <w:bookmarkEnd w:id="13"/>
      <w:bookmarkEnd w:id="14"/>
    </w:p>
    <w:p>
      <w:pPr>
        <w:widowControl w:val="0"/>
        <w:ind w:firstLine="643"/>
        <w:outlineLvl w:val="1"/>
        <w:rPr>
          <w:rFonts w:hint="default" w:ascii="Times New Roman" w:hAnsi="Times New Roman" w:eastAsia="楷体_GB2312" w:cs="Times New Roman"/>
          <w:b/>
          <w:bCs/>
          <w:szCs w:val="32"/>
          <w:highlight w:val="none"/>
        </w:rPr>
      </w:pPr>
      <w:bookmarkStart w:id="16" w:name="_Toc20744"/>
      <w:bookmarkStart w:id="17" w:name="_Toc20436"/>
      <w:r>
        <w:rPr>
          <w:rFonts w:hint="default" w:ascii="Times New Roman" w:hAnsi="Times New Roman" w:eastAsia="楷体_GB2312" w:cs="Times New Roman"/>
          <w:b/>
          <w:bCs/>
          <w:kern w:val="2"/>
          <w:szCs w:val="32"/>
          <w:highlight w:val="none"/>
          <w:lang w:bidi="ar"/>
        </w:rPr>
        <w:t>（一）主要经验及做法</w:t>
      </w:r>
      <w:bookmarkEnd w:id="16"/>
      <w:bookmarkEnd w:id="17"/>
    </w:p>
    <w:p>
      <w:pPr>
        <w:widowControl w:val="0"/>
        <w:ind w:firstLine="643"/>
        <w:rPr>
          <w:rFonts w:hint="default" w:ascii="Times New Roman" w:hAnsi="Times New Roman" w:cs="Times New Roman"/>
          <w:b/>
          <w:bCs/>
          <w:kern w:val="2"/>
          <w:highlight w:val="none"/>
          <w:lang w:bidi="ar"/>
        </w:rPr>
      </w:pPr>
      <w:r>
        <w:rPr>
          <w:rFonts w:hint="default" w:ascii="Times New Roman" w:hAnsi="Times New Roman" w:cs="Times New Roman"/>
          <w:b/>
          <w:bCs/>
          <w:kern w:val="2"/>
          <w:highlight w:val="none"/>
          <w:lang w:bidi="ar"/>
        </w:rPr>
        <w:t>养护标准完整，考核制度完善</w:t>
      </w:r>
    </w:p>
    <w:p>
      <w:pPr>
        <w:widowControl w:val="0"/>
        <w:ind w:firstLine="640"/>
        <w:rPr>
          <w:rFonts w:hint="default" w:ascii="Times New Roman" w:hAnsi="Times New Roman" w:cs="Times New Roman"/>
          <w:szCs w:val="28"/>
          <w:highlight w:val="none"/>
          <w:lang w:bidi="ar"/>
        </w:rPr>
      </w:pPr>
      <w:r>
        <w:rPr>
          <w:rFonts w:hint="default" w:ascii="Times New Roman" w:hAnsi="Times New Roman" w:cs="Times New Roman"/>
          <w:szCs w:val="28"/>
          <w:highlight w:val="none"/>
          <w:lang w:bidi="ar"/>
        </w:rPr>
        <w:t>新乡市河渠中心制定有《社会化养护管理标准》和《社会化管理养护督查考评暂行办法》。《社会化养护管理标准》中对绿化养护标准、卫生保洁标准、设施设备维护标准、人员及设备机械要求等养护内容进行了详细规定，养护单位在开展养护工作时有明确的参考标准。《社会化管理养护督察考评暂行办法》对督察考评范围、要求、内容以及扣分标准进行了明确规定，考核标准明确，考核制度完善。</w:t>
      </w:r>
    </w:p>
    <w:p>
      <w:pPr>
        <w:widowControl w:val="0"/>
        <w:ind w:firstLine="643"/>
        <w:outlineLvl w:val="1"/>
        <w:rPr>
          <w:rFonts w:hint="default" w:ascii="Times New Roman" w:hAnsi="Times New Roman" w:eastAsia="楷体_GB2312" w:cs="Times New Roman"/>
          <w:b/>
          <w:bCs/>
          <w:szCs w:val="32"/>
          <w:highlight w:val="none"/>
        </w:rPr>
      </w:pPr>
      <w:bookmarkStart w:id="18" w:name="_Toc23647"/>
      <w:bookmarkStart w:id="19" w:name="_Toc32515"/>
      <w:r>
        <w:rPr>
          <w:rFonts w:hint="default" w:ascii="Times New Roman" w:hAnsi="Times New Roman" w:eastAsia="楷体_GB2312" w:cs="Times New Roman"/>
          <w:b/>
          <w:bCs/>
          <w:kern w:val="2"/>
          <w:szCs w:val="32"/>
          <w:highlight w:val="none"/>
          <w:lang w:bidi="ar"/>
        </w:rPr>
        <w:t>（二）存在的问题</w:t>
      </w:r>
      <w:bookmarkEnd w:id="18"/>
      <w:bookmarkEnd w:id="19"/>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1.项目决策层面</w:t>
      </w:r>
    </w:p>
    <w:p>
      <w:pPr>
        <w:widowControl w:val="0"/>
        <w:ind w:firstLine="643"/>
        <w:rPr>
          <w:rFonts w:hint="default" w:ascii="Times New Roman" w:hAnsi="Times New Roman" w:eastAsia="仿宋_GB2312" w:cs="Times New Roman"/>
          <w:b/>
          <w:bCs/>
          <w:kern w:val="2"/>
          <w:szCs w:val="28"/>
          <w:highlight w:val="none"/>
          <w:lang w:val="en-US" w:eastAsia="zh-CN" w:bidi="ar"/>
        </w:rPr>
      </w:pP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1</w:t>
      </w: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预算申请依据不够合理</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根据市河渠中心提供的相关合同、批复及测算依据发现，对于岸坡绿化面积，按照新乡市统一的每平方米4元的标准进行测算，同时又按照每6500平方米安排1</w:t>
      </w:r>
      <w:r>
        <w:rPr>
          <w:rFonts w:hint="default" w:ascii="Times New Roman" w:hAnsi="Times New Roman" w:cs="Times New Roman"/>
          <w:kern w:val="2"/>
          <w:szCs w:val="28"/>
          <w:highlight w:val="none"/>
          <w:lang w:val="en-US" w:eastAsia="zh-CN" w:bidi="ar"/>
        </w:rPr>
        <w:t>名保洁员</w:t>
      </w:r>
      <w:r>
        <w:rPr>
          <w:rFonts w:hint="default" w:ascii="Times New Roman" w:hAnsi="Times New Roman" w:cs="Times New Roman"/>
          <w:kern w:val="2"/>
          <w:szCs w:val="28"/>
          <w:highlight w:val="none"/>
          <w:lang w:bidi="ar"/>
        </w:rPr>
        <w:t>进行人员配置。对于水面保洁，按照人员工资、打捞船油费、打捞船购买及养护费等费用</w:t>
      </w:r>
      <w:r>
        <w:rPr>
          <w:rFonts w:hint="default" w:ascii="Times New Roman" w:hAnsi="Times New Roman" w:cs="Times New Roman"/>
          <w:kern w:val="2"/>
          <w:szCs w:val="28"/>
          <w:highlight w:val="none"/>
          <w:lang w:val="en-US" w:eastAsia="zh-CN" w:bidi="ar"/>
        </w:rPr>
        <w:t>进行测算</w:t>
      </w:r>
      <w:r>
        <w:rPr>
          <w:rFonts w:hint="default" w:ascii="Times New Roman" w:hAnsi="Times New Roman" w:cs="Times New Roman"/>
          <w:kern w:val="2"/>
          <w:szCs w:val="28"/>
          <w:highlight w:val="none"/>
          <w:lang w:bidi="ar"/>
        </w:rPr>
        <w:t>，打捞船的购买经费在合同期内全部摊销完毕不够合理，该项费用不应全部由财政承担。因此，评价小组判断，该项目签订的合同价格不够公允，预算申请的依据不够合理。</w:t>
      </w:r>
    </w:p>
    <w:p>
      <w:pPr>
        <w:keepNext w:val="0"/>
        <w:keepLines w:val="0"/>
        <w:pageBreakBefore w:val="0"/>
        <w:widowControl w:val="0"/>
        <w:kinsoku/>
        <w:wordWrap/>
        <w:overflowPunct/>
        <w:topLinePunct w:val="0"/>
        <w:autoSpaceDE/>
        <w:autoSpaceDN/>
        <w:bidi w:val="0"/>
        <w:adjustRightInd/>
        <w:snapToGrid/>
        <w:ind w:firstLine="643"/>
        <w:textAlignment w:val="auto"/>
        <w:rPr>
          <w:rFonts w:hint="default" w:ascii="Times New Roman" w:hAnsi="Times New Roman" w:eastAsia="仿宋_GB2312" w:cs="Times New Roman"/>
          <w:b/>
          <w:bCs/>
          <w:kern w:val="2"/>
          <w:szCs w:val="28"/>
          <w:highlight w:val="none"/>
          <w:lang w:eastAsia="zh-CN"/>
        </w:rPr>
      </w:pP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2</w:t>
      </w:r>
      <w:r>
        <w:rPr>
          <w:rFonts w:hint="default" w:ascii="Times New Roman" w:hAnsi="Times New Roman" w:cs="Times New Roman"/>
          <w:b/>
          <w:bCs/>
          <w:kern w:val="2"/>
          <w:szCs w:val="28"/>
          <w:highlight w:val="none"/>
          <w:lang w:bidi="ar"/>
        </w:rPr>
        <w:t>）绩效目标填写不</w:t>
      </w:r>
      <w:r>
        <w:rPr>
          <w:rFonts w:hint="default" w:ascii="Times New Roman" w:hAnsi="Times New Roman" w:cs="Times New Roman"/>
          <w:b/>
          <w:bCs/>
          <w:kern w:val="2"/>
          <w:szCs w:val="28"/>
          <w:highlight w:val="none"/>
          <w:lang w:val="en-US" w:eastAsia="zh-CN" w:bidi="ar"/>
        </w:rPr>
        <w:t>规范</w:t>
      </w:r>
    </w:p>
    <w:p>
      <w:pPr>
        <w:keepNext w:val="0"/>
        <w:keepLines w:val="0"/>
        <w:pageBreakBefore w:val="0"/>
        <w:widowControl/>
        <w:kinsoku/>
        <w:wordWrap/>
        <w:overflowPunct/>
        <w:topLinePunct w:val="0"/>
        <w:autoSpaceDE/>
        <w:autoSpaceDN/>
        <w:bidi w:val="0"/>
        <w:adjustRightInd/>
        <w:snapToGrid/>
        <w:ind w:firstLine="640"/>
        <w:textAlignment w:val="auto"/>
        <w:rPr>
          <w:rFonts w:hint="default" w:ascii="Times New Roman" w:hAnsi="Times New Roman" w:cs="Times New Roman"/>
          <w:highlight w:val="none"/>
          <w:lang w:bidi="ar"/>
        </w:rPr>
      </w:pPr>
      <w:r>
        <w:rPr>
          <w:rFonts w:hint="default" w:ascii="Times New Roman" w:hAnsi="Times New Roman" w:cs="Times New Roman"/>
          <w:highlight w:val="none"/>
          <w:lang w:bidi="ar"/>
        </w:rPr>
        <w:t>根据项目单位提供的绩效目标发现，</w:t>
      </w:r>
      <w:r>
        <w:rPr>
          <w:rFonts w:hint="default" w:ascii="Times New Roman" w:hAnsi="Times New Roman" w:cs="Times New Roman"/>
          <w:b/>
          <w:bCs/>
          <w:highlight w:val="none"/>
          <w:lang w:bidi="ar"/>
        </w:rPr>
        <w:t>一是</w:t>
      </w:r>
      <w:r>
        <w:rPr>
          <w:rFonts w:hint="default" w:ascii="Times New Roman" w:hAnsi="Times New Roman" w:cs="Times New Roman"/>
          <w:highlight w:val="none"/>
          <w:lang w:bidi="ar"/>
        </w:rPr>
        <w:t>年度目标设置为“确保市区河渠环境优美”，目标过于简单，无法衡量，对于年度内要开展的具体工作内容未体现；</w:t>
      </w:r>
      <w:r>
        <w:rPr>
          <w:rFonts w:hint="default" w:ascii="Times New Roman" w:hAnsi="Times New Roman" w:cs="Times New Roman"/>
          <w:b/>
          <w:bCs/>
          <w:highlight w:val="none"/>
          <w:lang w:bidi="ar"/>
        </w:rPr>
        <w:t>二是</w:t>
      </w:r>
      <w:r>
        <w:rPr>
          <w:rFonts w:hint="default" w:ascii="Times New Roman" w:hAnsi="Times New Roman" w:cs="Times New Roman"/>
          <w:highlight w:val="none"/>
          <w:lang w:bidi="ar"/>
        </w:rPr>
        <w:t>时效指标设置为“‘数字河管’结案率100%、‘数字城管’结案率100%”，该指标与工作时效无关。</w:t>
      </w:r>
      <w:r>
        <w:rPr>
          <w:rFonts w:hint="default" w:ascii="Times New Roman" w:hAnsi="Times New Roman" w:cs="Times New Roman"/>
          <w:highlight w:val="none"/>
        </w:rPr>
        <w:t>绩效目标填写的不规范，不利于发挥绩效目标对于实际工作开展的指导、督促作用。</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2.项目管理层面</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kern w:val="2"/>
          <w:sz w:val="32"/>
          <w:szCs w:val="28"/>
          <w:highlight w:val="none"/>
          <w:lang w:val="en-US" w:eastAsia="zh-CN" w:bidi="ar-SA"/>
        </w:rPr>
      </w:pPr>
      <w:r>
        <w:rPr>
          <w:rFonts w:hint="default" w:ascii="Times New Roman" w:hAnsi="Times New Roman" w:eastAsia="仿宋_GB2312" w:cs="Times New Roman"/>
          <w:b/>
          <w:bCs/>
          <w:kern w:val="2"/>
          <w:sz w:val="32"/>
          <w:szCs w:val="28"/>
          <w:highlight w:val="none"/>
          <w:lang w:val="en-US" w:eastAsia="zh-CN" w:bidi="ar-SA"/>
        </w:rPr>
        <w:t>（</w:t>
      </w:r>
      <w:r>
        <w:rPr>
          <w:rFonts w:hint="default" w:ascii="Times New Roman" w:hAnsi="Times New Roman" w:cs="Times New Roman"/>
          <w:b/>
          <w:bCs/>
          <w:kern w:val="2"/>
          <w:sz w:val="32"/>
          <w:szCs w:val="28"/>
          <w:highlight w:val="none"/>
          <w:lang w:val="en-US" w:eastAsia="zh-CN" w:bidi="ar-SA"/>
        </w:rPr>
        <w:t>3</w:t>
      </w:r>
      <w:r>
        <w:rPr>
          <w:rFonts w:hint="default" w:ascii="Times New Roman" w:hAnsi="Times New Roman" w:eastAsia="仿宋_GB2312" w:cs="Times New Roman"/>
          <w:b/>
          <w:bCs/>
          <w:kern w:val="2"/>
          <w:sz w:val="32"/>
          <w:szCs w:val="28"/>
          <w:highlight w:val="none"/>
          <w:lang w:val="en-US" w:eastAsia="zh-CN" w:bidi="ar-SA"/>
        </w:rPr>
        <w:t>）资源配置与</w:t>
      </w:r>
      <w:r>
        <w:rPr>
          <w:rFonts w:hint="default" w:ascii="Times New Roman" w:hAnsi="Times New Roman" w:cs="Times New Roman"/>
          <w:b/>
          <w:bCs/>
          <w:kern w:val="2"/>
          <w:sz w:val="32"/>
          <w:szCs w:val="28"/>
          <w:highlight w:val="none"/>
          <w:lang w:val="en-US" w:eastAsia="zh-CN" w:bidi="ar-SA"/>
        </w:rPr>
        <w:t>合同约定有偏差</w:t>
      </w:r>
    </w:p>
    <w:p>
      <w:pPr>
        <w:keepNext w:val="0"/>
        <w:keepLines w:val="0"/>
        <w:pageBreakBefore w:val="0"/>
        <w:widowControl/>
        <w:kinsoku/>
        <w:wordWrap/>
        <w:overflowPunct/>
        <w:topLinePunct w:val="0"/>
        <w:autoSpaceDE/>
        <w:autoSpaceDN/>
        <w:bidi w:val="0"/>
        <w:adjustRightInd/>
        <w:snapToGrid/>
        <w:ind w:firstLine="640"/>
        <w:textAlignment w:val="auto"/>
        <w:rPr>
          <w:rFonts w:hint="default" w:ascii="Times New Roman" w:hAnsi="Times New Roman" w:cs="Times New Roman"/>
          <w:highlight w:val="none"/>
          <w:lang w:val="en-US" w:eastAsia="zh-CN" w:bidi="ar"/>
        </w:rPr>
      </w:pPr>
      <w:r>
        <w:rPr>
          <w:rFonts w:hint="default" w:ascii="Times New Roman" w:hAnsi="Times New Roman" w:cs="Times New Roman"/>
          <w:highlight w:val="none"/>
          <w:lang w:val="en-US" w:eastAsia="zh-CN" w:bidi="ar"/>
        </w:rPr>
        <w:t>经现场走访，社会化养护项目中资源配置与约定配置不一致。主要体现在两方面，一是人员配置与约定不一致，实际配备养护人员数量低于投标文件中配备的工作人员数量。如新五赵定桥至金穗赵定桥段，下午三点至五点间未见保洁人员或绿地养护人员等相关工作人员。新一街段合同约定卫生保洁人员3名、绿化养护人员6名、设施维修人员2名，其他人员2名，现场勘查发现，卫生保洁人员共2名，绿化养护人员共2名，监督检查人员1名，未见其他相关工作人员，且养护人员及保洁人员年龄普遍偏大；二是设备配备与合同约定不符，合同约定打捞船为燃油船，且年度燃油费用52.0125万元。但现场勘查发现新一街段打捞船为人力船，且兰示段、卫河段打捞船损坏未及时维修。</w:t>
      </w:r>
    </w:p>
    <w:p>
      <w:pPr>
        <w:widowControl w:val="0"/>
        <w:ind w:firstLine="643"/>
        <w:rPr>
          <w:rFonts w:hint="default" w:ascii="Times New Roman" w:hAnsi="Times New Roman" w:eastAsia="仿宋_GB2312" w:cs="Times New Roman"/>
          <w:b/>
          <w:bCs/>
          <w:kern w:val="2"/>
          <w:szCs w:val="28"/>
          <w:highlight w:val="none"/>
          <w:lang w:val="en-US" w:eastAsia="zh-CN"/>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4</w:t>
      </w:r>
      <w:r>
        <w:rPr>
          <w:rFonts w:hint="default" w:ascii="Times New Roman" w:hAnsi="Times New Roman" w:cs="Times New Roman"/>
          <w:b/>
          <w:bCs/>
          <w:kern w:val="2"/>
          <w:szCs w:val="28"/>
          <w:highlight w:val="none"/>
        </w:rPr>
        <w:t>）项目考核验收</w:t>
      </w:r>
      <w:r>
        <w:rPr>
          <w:rFonts w:hint="default" w:ascii="Times New Roman" w:hAnsi="Times New Roman" w:cs="Times New Roman"/>
          <w:b/>
          <w:bCs/>
          <w:kern w:val="2"/>
          <w:szCs w:val="28"/>
          <w:highlight w:val="none"/>
          <w:lang w:val="en-US" w:eastAsia="zh-CN"/>
        </w:rPr>
        <w:t>不严谨</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根据项目单位提供的养护合同，项目单位依据《社会化管理养护监督考评暂行办法》每季度对各标段养护成果进行验收并出具验收报告。但项目单位提供的验收报告显示，卫河段2021年11月18日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2022年2月18日的养护成果于2022年4月7日验收，且2022年8月24日为该河段出具了2022年2月18日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2022年5月18日和2022年5</w:t>
      </w:r>
      <w:r>
        <w:rPr>
          <w:rFonts w:hint="default" w:ascii="Times New Roman" w:hAnsi="Times New Roman" w:cs="Times New Roman"/>
          <w:kern w:val="2"/>
          <w:szCs w:val="28"/>
          <w:highlight w:val="none"/>
          <w:lang w:eastAsia="zh-CN" w:bidi="ar"/>
        </w:rPr>
        <w:t>月18日—</w:t>
      </w:r>
      <w:r>
        <w:rPr>
          <w:rFonts w:hint="default" w:ascii="Times New Roman" w:hAnsi="Times New Roman" w:cs="Times New Roman"/>
          <w:kern w:val="2"/>
          <w:szCs w:val="28"/>
          <w:highlight w:val="none"/>
          <w:lang w:bidi="ar"/>
        </w:rPr>
        <w:t>2022年8月18日两个季度的验收报告；赵定河兰示段2022年5月29日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2022年8月29日的养护成果，于2022年8月24日进行验收。</w:t>
      </w:r>
      <w:r>
        <w:rPr>
          <w:rFonts w:hint="default" w:ascii="Times New Roman" w:hAnsi="Times New Roman" w:cs="Times New Roman"/>
          <w:kern w:val="2"/>
          <w:szCs w:val="28"/>
          <w:highlight w:val="none"/>
          <w:lang w:val="en-US" w:eastAsia="zh-CN" w:bidi="ar"/>
        </w:rPr>
        <w:t>项目考核验收不够严谨</w:t>
      </w:r>
      <w:r>
        <w:rPr>
          <w:rFonts w:hint="default" w:ascii="Times New Roman" w:hAnsi="Times New Roman" w:cs="Times New Roman"/>
          <w:kern w:val="2"/>
          <w:szCs w:val="28"/>
          <w:highlight w:val="none"/>
          <w:lang w:bidi="ar"/>
        </w:rPr>
        <w:t>，验收时间存在滞后、超前等不规范现象。</w:t>
      </w:r>
    </w:p>
    <w:p>
      <w:pPr>
        <w:widowControl w:val="0"/>
        <w:ind w:firstLine="643"/>
        <w:rPr>
          <w:rFonts w:hint="default" w:ascii="Times New Roman" w:hAnsi="Times New Roman" w:eastAsia="仿宋_GB2312" w:cs="Times New Roman"/>
          <w:b/>
          <w:bCs/>
          <w:kern w:val="2"/>
          <w:szCs w:val="28"/>
          <w:highlight w:val="none"/>
          <w:lang w:val="en-US" w:eastAsia="zh-CN"/>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5</w:t>
      </w:r>
      <w:r>
        <w:rPr>
          <w:rFonts w:hint="default" w:ascii="Times New Roman" w:hAnsi="Times New Roman" w:cs="Times New Roman"/>
          <w:b/>
          <w:bCs/>
          <w:kern w:val="2"/>
          <w:szCs w:val="28"/>
          <w:highlight w:val="none"/>
        </w:rPr>
        <w:t>）月评比资料齐全，</w:t>
      </w:r>
      <w:r>
        <w:rPr>
          <w:rFonts w:hint="default" w:ascii="Times New Roman" w:hAnsi="Times New Roman" w:cs="Times New Roman"/>
          <w:b/>
          <w:bCs/>
          <w:kern w:val="2"/>
          <w:szCs w:val="28"/>
          <w:highlight w:val="none"/>
          <w:lang w:val="en-US" w:eastAsia="zh-CN"/>
        </w:rPr>
        <w:t>但与实际情况有偏差</w:t>
      </w:r>
    </w:p>
    <w:p>
      <w:pPr>
        <w:widowControl w:val="0"/>
        <w:ind w:firstLine="640"/>
        <w:rPr>
          <w:rFonts w:hint="default" w:ascii="Times New Roman" w:hAnsi="Times New Roman" w:eastAsia="仿宋_GB2312" w:cs="Times New Roman"/>
          <w:kern w:val="2"/>
          <w:szCs w:val="28"/>
          <w:highlight w:val="none"/>
          <w:lang w:val="en-US" w:eastAsia="zh-CN" w:bidi="ar"/>
        </w:rPr>
      </w:pPr>
      <w:r>
        <w:rPr>
          <w:rFonts w:hint="default" w:ascii="Times New Roman" w:hAnsi="Times New Roman" w:cs="Times New Roman"/>
          <w:kern w:val="2"/>
          <w:szCs w:val="28"/>
          <w:highlight w:val="none"/>
          <w:lang w:bidi="ar"/>
        </w:rPr>
        <w:t>项目单位依据《新乡市市区河渠综合事务中心社会化管理养护督察考评暂行办法》对各养护单位进行月评比并打分，评比中出现反馈问题未解决，需要二次派遣时，会依据</w:t>
      </w:r>
      <w:r>
        <w:rPr>
          <w:rFonts w:hint="default" w:ascii="Times New Roman" w:hAnsi="Times New Roman" w:cs="Times New Roman"/>
          <w:kern w:val="2"/>
          <w:szCs w:val="28"/>
          <w:highlight w:val="none"/>
          <w:lang w:val="en-US" w:eastAsia="zh-CN" w:bidi="ar"/>
        </w:rPr>
        <w:t>考评</w:t>
      </w:r>
      <w:r>
        <w:rPr>
          <w:rFonts w:hint="default" w:ascii="Times New Roman" w:hAnsi="Times New Roman" w:cs="Times New Roman"/>
          <w:kern w:val="2"/>
          <w:szCs w:val="28"/>
          <w:highlight w:val="none"/>
          <w:lang w:bidi="ar"/>
        </w:rPr>
        <w:t>标准扣分并罚款。但月评比打分表中2022年未出现二次派遣扣分</w:t>
      </w:r>
      <w:r>
        <w:rPr>
          <w:rFonts w:hint="default" w:ascii="Times New Roman" w:hAnsi="Times New Roman" w:cs="Times New Roman"/>
          <w:kern w:val="2"/>
          <w:szCs w:val="28"/>
          <w:highlight w:val="none"/>
          <w:lang w:val="en-US" w:eastAsia="zh-CN" w:bidi="ar"/>
        </w:rPr>
        <w:t>情况</w:t>
      </w:r>
      <w:r>
        <w:rPr>
          <w:rFonts w:hint="default" w:ascii="Times New Roman" w:hAnsi="Times New Roman" w:cs="Times New Roman"/>
          <w:kern w:val="2"/>
          <w:szCs w:val="28"/>
          <w:highlight w:val="none"/>
          <w:lang w:bidi="ar"/>
        </w:rPr>
        <w:t>，实际</w:t>
      </w:r>
      <w:r>
        <w:rPr>
          <w:rFonts w:hint="default" w:ascii="Times New Roman" w:hAnsi="Times New Roman" w:cs="Times New Roman"/>
          <w:kern w:val="2"/>
          <w:szCs w:val="28"/>
          <w:highlight w:val="none"/>
          <w:lang w:val="en-US" w:eastAsia="zh-CN" w:bidi="ar"/>
        </w:rPr>
        <w:t>管理简报显示有二次派遣现象</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val="en-US" w:eastAsia="zh-CN" w:bidi="ar"/>
        </w:rPr>
        <w:t>且“数字城管”“数字河管”案发情况在月评比打分表中均未体现</w:t>
      </w:r>
      <w:r>
        <w:rPr>
          <w:rFonts w:hint="default" w:ascii="Times New Roman" w:hAnsi="Times New Roman" w:cs="Times New Roman"/>
          <w:b w:val="0"/>
          <w:bCs w:val="0"/>
          <w:kern w:val="2"/>
          <w:szCs w:val="28"/>
          <w:highlight w:val="none"/>
          <w:lang w:val="en-US" w:eastAsia="zh-CN" w:bidi="ar"/>
        </w:rPr>
        <w:t>。月评比虽资料齐全，但打分结果与实际情况有偏差。</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3.河渠市场化养护机制不健全</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6</w:t>
      </w:r>
      <w:r>
        <w:rPr>
          <w:rFonts w:hint="default" w:ascii="Times New Roman" w:hAnsi="Times New Roman" w:cs="Times New Roman"/>
          <w:b/>
          <w:bCs/>
          <w:kern w:val="2"/>
          <w:szCs w:val="28"/>
          <w:highlight w:val="none"/>
        </w:rPr>
        <w:t>）中长期发展规划不完整</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项目单位制定有河渠养护目标与规划，但规划内容过于宽泛，对项目实施的目标定位不够清晰，未制定对应的工作计划，不能有效推动该项目朝着既定的方向发展。</w:t>
      </w:r>
    </w:p>
    <w:p>
      <w:pPr>
        <w:widowControl w:val="0"/>
        <w:ind w:firstLine="640"/>
        <w:outlineLvl w:val="0"/>
        <w:rPr>
          <w:rFonts w:hint="default" w:ascii="Times New Roman" w:hAnsi="Times New Roman" w:eastAsia="黑体" w:cs="Times New Roman"/>
          <w:szCs w:val="32"/>
          <w:highlight w:val="none"/>
        </w:rPr>
      </w:pPr>
      <w:bookmarkStart w:id="20" w:name="_Toc7444"/>
      <w:bookmarkStart w:id="21" w:name="_Toc22691"/>
      <w:r>
        <w:rPr>
          <w:rFonts w:hint="default" w:ascii="Times New Roman" w:hAnsi="Times New Roman" w:eastAsia="黑体" w:cs="Times New Roman"/>
          <w:kern w:val="2"/>
          <w:szCs w:val="32"/>
          <w:highlight w:val="none"/>
          <w:lang w:bidi="ar"/>
        </w:rPr>
        <w:t>五、评价结论</w:t>
      </w:r>
      <w:bookmarkEnd w:id="15"/>
      <w:bookmarkEnd w:id="20"/>
      <w:bookmarkEnd w:id="21"/>
    </w:p>
    <w:p>
      <w:pPr>
        <w:widowControl w:val="0"/>
        <w:ind w:firstLine="640"/>
        <w:rPr>
          <w:rFonts w:hint="default" w:ascii="Times New Roman" w:hAnsi="Times New Roman" w:cs="Times New Roman"/>
          <w:highlight w:val="none"/>
        </w:rPr>
      </w:pPr>
      <w:r>
        <w:rPr>
          <w:rFonts w:hint="default" w:ascii="Times New Roman" w:hAnsi="Times New Roman" w:cs="Times New Roman"/>
          <w:highlight w:val="none"/>
        </w:rPr>
        <w:t>运用由项目组设计并通过专家组论证的评价指标体系及评分标准，通过数据采集、访谈</w:t>
      </w:r>
      <w:r>
        <w:rPr>
          <w:rFonts w:hint="default" w:ascii="Times New Roman" w:hAnsi="Times New Roman" w:cs="Times New Roman"/>
          <w:highlight w:val="none"/>
          <w:lang w:eastAsia="zh-CN"/>
        </w:rPr>
        <w:t>、</w:t>
      </w:r>
      <w:r>
        <w:rPr>
          <w:rFonts w:hint="default" w:ascii="Times New Roman" w:hAnsi="Times New Roman" w:cs="Times New Roman"/>
          <w:highlight w:val="none"/>
        </w:rPr>
        <w:t>问卷调查，对2022年新乡市市区河渠社会化养护项目绩效进行客观评价。最终评分结果：总得分为</w:t>
      </w:r>
      <w:r>
        <w:rPr>
          <w:rFonts w:hint="default" w:ascii="Times New Roman" w:hAnsi="Times New Roman" w:cs="Times New Roman"/>
          <w:b/>
          <w:bCs/>
          <w:highlight w:val="none"/>
          <w:lang w:val="en-US" w:eastAsia="zh-CN"/>
        </w:rPr>
        <w:t>85.25</w:t>
      </w:r>
      <w:r>
        <w:rPr>
          <w:rFonts w:hint="default" w:ascii="Times New Roman" w:hAnsi="Times New Roman" w:cs="Times New Roman"/>
          <w:highlight w:val="none"/>
        </w:rPr>
        <w:t>分，按照绩效评级标准，评价等级为“</w:t>
      </w:r>
      <w:r>
        <w:rPr>
          <w:rFonts w:hint="default" w:ascii="Times New Roman" w:hAnsi="Times New Roman" w:cs="Times New Roman"/>
          <w:b/>
          <w:bCs/>
          <w:highlight w:val="none"/>
          <w:lang w:val="en-US" w:eastAsia="zh-CN"/>
        </w:rPr>
        <w:t>良</w:t>
      </w:r>
      <w:r>
        <w:rPr>
          <w:rFonts w:hint="default" w:ascii="Times New Roman" w:hAnsi="Times New Roman" w:cs="Times New Roman"/>
          <w:highlight w:val="none"/>
        </w:rPr>
        <w:t>”</w:t>
      </w:r>
      <w:r>
        <w:rPr>
          <w:rFonts w:hint="default" w:ascii="Times New Roman" w:hAnsi="Times New Roman" w:cs="Times New Roman"/>
          <w:kern w:val="2"/>
          <w:highlight w:val="none"/>
          <w:lang w:bidi="ar"/>
        </w:rPr>
        <w:t>。</w:t>
      </w:r>
    </w:p>
    <w:p>
      <w:pPr>
        <w:widowControl w:val="0"/>
        <w:ind w:firstLine="640"/>
        <w:outlineLvl w:val="0"/>
        <w:rPr>
          <w:rFonts w:hint="default" w:ascii="Times New Roman" w:hAnsi="Times New Roman" w:eastAsia="黑体" w:cs="Times New Roman"/>
          <w:szCs w:val="32"/>
          <w:highlight w:val="none"/>
        </w:rPr>
      </w:pPr>
      <w:bookmarkStart w:id="22" w:name="_Toc22204"/>
      <w:bookmarkStart w:id="23" w:name="_Toc30699"/>
      <w:r>
        <w:rPr>
          <w:rFonts w:hint="default" w:ascii="Times New Roman" w:hAnsi="Times New Roman" w:eastAsia="黑体" w:cs="Times New Roman"/>
          <w:kern w:val="2"/>
          <w:szCs w:val="32"/>
          <w:highlight w:val="none"/>
          <w:lang w:bidi="ar"/>
        </w:rPr>
        <w:t>六、有关建议</w:t>
      </w:r>
      <w:bookmarkEnd w:id="8"/>
      <w:bookmarkEnd w:id="22"/>
      <w:bookmarkEnd w:id="23"/>
    </w:p>
    <w:p>
      <w:pPr>
        <w:widowControl w:val="0"/>
        <w:ind w:firstLine="643"/>
        <w:outlineLvl w:val="1"/>
        <w:rPr>
          <w:rFonts w:hint="default" w:ascii="Times New Roman" w:hAnsi="Times New Roman" w:eastAsia="楷体_GB2312" w:cs="Times New Roman"/>
          <w:b/>
          <w:bCs/>
          <w:kern w:val="2"/>
          <w:highlight w:val="none"/>
          <w:lang w:bidi="ar"/>
        </w:rPr>
      </w:pPr>
      <w:bookmarkStart w:id="24" w:name="_Toc7093"/>
      <w:bookmarkStart w:id="25" w:name="_Toc12421"/>
      <w:bookmarkStart w:id="26" w:name="_Toc2716"/>
      <w:r>
        <w:rPr>
          <w:rFonts w:hint="default" w:ascii="Times New Roman" w:hAnsi="Times New Roman" w:eastAsia="楷体_GB2312" w:cs="Times New Roman"/>
          <w:b/>
          <w:bCs/>
          <w:kern w:val="2"/>
          <w:szCs w:val="32"/>
          <w:highlight w:val="none"/>
        </w:rPr>
        <w:t>（一）</w:t>
      </w:r>
      <w:bookmarkEnd w:id="24"/>
      <w:r>
        <w:rPr>
          <w:rFonts w:hint="default" w:ascii="Times New Roman" w:hAnsi="Times New Roman" w:eastAsia="楷体_GB2312" w:cs="Times New Roman"/>
          <w:b/>
          <w:bCs/>
          <w:kern w:val="2"/>
          <w:highlight w:val="none"/>
          <w:lang w:bidi="ar"/>
        </w:rPr>
        <w:t>合理设置绩效目标，规范设置绩效指标</w:t>
      </w:r>
      <w:bookmarkEnd w:id="25"/>
      <w:bookmarkEnd w:id="26"/>
    </w:p>
    <w:p>
      <w:pPr>
        <w:ind w:firstLine="640"/>
        <w:rPr>
          <w:rFonts w:hint="default" w:ascii="Times New Roman" w:hAnsi="Times New Roman" w:cs="Times New Roman"/>
          <w:szCs w:val="32"/>
          <w:highlight w:val="none"/>
        </w:rPr>
      </w:pPr>
      <w:r>
        <w:rPr>
          <w:rFonts w:hint="default" w:ascii="Times New Roman" w:hAnsi="Times New Roman" w:cs="Times New Roman"/>
          <w:kern w:val="2"/>
          <w:highlight w:val="none"/>
          <w:lang w:bidi="ar"/>
        </w:rPr>
        <w:t>建议项目单位根据绩效目标设置原则，合理设置绩效指标，并从产出（产出数量、质量、成本、时效）、效益（经济效益、社会效益、生态效益、可持续影响、服务对象满意度）等方面进行细化，项目预期产出效益和效果符合正常的业绩水平。同时，定量指标尽量精准、量化衡量，定性指标应充分结合地方实际与项目特点细化、分解为多个考核维度，充分发挥绩效目标对于实际工作组织开展的指导、督促作用</w:t>
      </w:r>
      <w:r>
        <w:rPr>
          <w:rFonts w:hint="default" w:ascii="Times New Roman" w:hAnsi="Times New Roman" w:cs="Times New Roman"/>
          <w:szCs w:val="32"/>
          <w:highlight w:val="none"/>
        </w:rPr>
        <w:t>。</w:t>
      </w:r>
    </w:p>
    <w:p>
      <w:pPr>
        <w:widowControl w:val="0"/>
        <w:ind w:firstLine="643"/>
        <w:outlineLvl w:val="1"/>
        <w:rPr>
          <w:rFonts w:hint="default" w:ascii="Times New Roman" w:hAnsi="Times New Roman" w:eastAsia="楷体_GB2312" w:cs="Times New Roman"/>
          <w:b/>
          <w:bCs/>
          <w:kern w:val="2"/>
          <w:szCs w:val="32"/>
          <w:highlight w:val="none"/>
        </w:rPr>
      </w:pPr>
      <w:bookmarkStart w:id="27" w:name="_Toc4063"/>
      <w:bookmarkStart w:id="28" w:name="_Toc12945"/>
      <w:r>
        <w:rPr>
          <w:rFonts w:hint="default" w:ascii="Times New Roman" w:hAnsi="Times New Roman" w:eastAsia="楷体_GB2312" w:cs="Times New Roman"/>
          <w:b/>
          <w:bCs/>
          <w:kern w:val="2"/>
          <w:szCs w:val="32"/>
          <w:highlight w:val="none"/>
        </w:rPr>
        <w:t>（二）加强项目监督管理，规范项目实施</w:t>
      </w:r>
      <w:bookmarkEnd w:id="27"/>
      <w:bookmarkEnd w:id="28"/>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建议项目单位加强对养护项目的监管，严格按照养护管理标准和监督考核制度实施，将监管机制落到实处，强化养护质量的管理，并将监管台账保存完好，及时总结问题和经验，为项目的后续实施提供参考资料。</w:t>
      </w:r>
    </w:p>
    <w:p>
      <w:pPr>
        <w:widowControl w:val="0"/>
        <w:ind w:firstLine="643"/>
        <w:outlineLvl w:val="1"/>
        <w:rPr>
          <w:rFonts w:hint="default" w:ascii="Times New Roman" w:hAnsi="Times New Roman" w:eastAsia="楷体_GB2312" w:cs="Times New Roman"/>
          <w:b/>
          <w:bCs/>
          <w:kern w:val="2"/>
          <w:highlight w:val="none"/>
          <w:lang w:bidi="ar"/>
        </w:rPr>
      </w:pPr>
      <w:bookmarkStart w:id="29" w:name="_Toc4897"/>
      <w:bookmarkStart w:id="30" w:name="_Toc6993"/>
      <w:r>
        <w:rPr>
          <w:rFonts w:hint="default" w:ascii="Times New Roman" w:hAnsi="Times New Roman" w:eastAsia="楷体_GB2312" w:cs="Times New Roman"/>
          <w:b/>
          <w:bCs/>
          <w:kern w:val="2"/>
          <w:highlight w:val="none"/>
          <w:lang w:bidi="ar"/>
        </w:rPr>
        <w:t>（三）按照验收标准，积极开展验收工作</w:t>
      </w:r>
      <w:bookmarkEnd w:id="29"/>
      <w:bookmarkEnd w:id="30"/>
    </w:p>
    <w:p>
      <w:pPr>
        <w:widowControl w:val="0"/>
        <w:autoSpaceDE w:val="0"/>
        <w:autoSpaceDN w:val="0"/>
        <w:adjustRightInd w:val="0"/>
        <w:spacing w:line="560" w:lineRule="atLeast"/>
        <w:ind w:firstLine="640" w:firstLineChars="200"/>
        <w:jc w:val="both"/>
        <w:rPr>
          <w:rFonts w:hint="default" w:ascii="Times New Roman" w:hAnsi="Times New Roman" w:eastAsia="仿宋_GB2312" w:cs="Times New Roman"/>
          <w:color w:val="auto"/>
          <w:kern w:val="2"/>
          <w:sz w:val="32"/>
          <w:szCs w:val="22"/>
          <w:highlight w:val="none"/>
          <w:lang w:val="en-US" w:eastAsia="zh-CN" w:bidi="ar"/>
        </w:rPr>
      </w:pPr>
      <w:r>
        <w:rPr>
          <w:rFonts w:hint="default" w:ascii="Times New Roman" w:hAnsi="Times New Roman" w:eastAsia="仿宋_GB2312" w:cs="Times New Roman"/>
          <w:color w:val="auto"/>
          <w:kern w:val="2"/>
          <w:sz w:val="32"/>
          <w:szCs w:val="22"/>
          <w:highlight w:val="none"/>
          <w:lang w:val="en-US" w:eastAsia="zh-CN" w:bidi="ar"/>
        </w:rPr>
        <w:t>养护内容验收情况是项目实施效果的体现、是养护费用支付的依据。建议项目单位重视此项工作，严格按照验收标准和验收时间要求，规范验收程序，</w:t>
      </w:r>
      <w:r>
        <w:rPr>
          <w:rFonts w:hint="default" w:ascii="Times New Roman" w:hAnsi="Times New Roman" w:cs="Times New Roman"/>
          <w:color w:val="auto"/>
          <w:kern w:val="2"/>
          <w:sz w:val="32"/>
          <w:szCs w:val="22"/>
          <w:highlight w:val="none"/>
          <w:lang w:val="en-US" w:eastAsia="zh-CN" w:bidi="ar"/>
        </w:rPr>
        <w:t>有效地开展</w:t>
      </w:r>
      <w:r>
        <w:rPr>
          <w:rFonts w:hint="default" w:ascii="Times New Roman" w:hAnsi="Times New Roman" w:eastAsia="仿宋_GB2312" w:cs="Times New Roman"/>
          <w:color w:val="auto"/>
          <w:kern w:val="2"/>
          <w:sz w:val="32"/>
          <w:szCs w:val="22"/>
          <w:highlight w:val="none"/>
          <w:lang w:val="en-US" w:eastAsia="zh-CN" w:bidi="ar"/>
        </w:rPr>
        <w:t>验收工作。</w:t>
      </w:r>
    </w:p>
    <w:p>
      <w:pPr>
        <w:widowControl w:val="0"/>
        <w:ind w:firstLine="643"/>
        <w:outlineLvl w:val="1"/>
        <w:rPr>
          <w:rFonts w:hint="default" w:ascii="Times New Roman" w:hAnsi="Times New Roman" w:eastAsia="楷体_GB2312" w:cs="Times New Roman"/>
          <w:b/>
          <w:bCs/>
          <w:kern w:val="2"/>
          <w:highlight w:val="none"/>
          <w:lang w:bidi="ar"/>
        </w:rPr>
      </w:pPr>
      <w:bookmarkStart w:id="31" w:name="_Toc32027"/>
      <w:bookmarkStart w:id="32" w:name="_Toc12074"/>
      <w:r>
        <w:rPr>
          <w:rFonts w:hint="default" w:ascii="Times New Roman" w:hAnsi="Times New Roman" w:eastAsia="楷体_GB2312" w:cs="Times New Roman"/>
          <w:b/>
          <w:bCs/>
          <w:kern w:val="2"/>
          <w:highlight w:val="none"/>
          <w:lang w:bidi="ar"/>
        </w:rPr>
        <w:t>（四）健全长效管理，制定后续计划</w:t>
      </w:r>
      <w:bookmarkEnd w:id="31"/>
      <w:bookmarkEnd w:id="32"/>
    </w:p>
    <w:p>
      <w:pPr>
        <w:ind w:firstLine="640"/>
        <w:rPr>
          <w:rFonts w:hint="default" w:ascii="Times New Roman" w:hAnsi="Times New Roman" w:eastAsia="方正小标宋简体" w:cs="Times New Roman"/>
          <w:bCs/>
          <w:sz w:val="36"/>
          <w:szCs w:val="36"/>
          <w:highlight w:val="none"/>
        </w:rPr>
      </w:pPr>
      <w:r>
        <w:rPr>
          <w:rFonts w:hint="default" w:ascii="Times New Roman" w:hAnsi="Times New Roman" w:cs="Times New Roman"/>
          <w:highlight w:val="none"/>
        </w:rPr>
        <w:t>建议项目单位制定项目的中长期发展规划和目标，合理分析投入与产出，探索养护项目规划与目标，同时建立相关部门的有效沟通，建立联络机制，发挥各部门作用。合理提高河渠养护的水平，改善城市环境。</w:t>
      </w:r>
    </w:p>
    <w:p>
      <w:pPr>
        <w:ind w:firstLine="640"/>
        <w:rPr>
          <w:rFonts w:hint="default" w:ascii="Times New Roman" w:hAnsi="Times New Roman" w:eastAsia="方正小标宋简体" w:cs="Times New Roman"/>
          <w:bCs/>
          <w:sz w:val="36"/>
          <w:szCs w:val="36"/>
        </w:rPr>
      </w:pPr>
    </w:p>
    <w:p>
      <w:pPr>
        <w:pStyle w:val="127"/>
        <w:spacing w:line="560" w:lineRule="exact"/>
        <w:ind w:firstLine="0" w:firstLineChars="0"/>
        <w:jc w:val="center"/>
        <w:rPr>
          <w:rFonts w:hint="default" w:ascii="Times New Roman" w:hAnsi="Times New Roman" w:eastAsia="方正小标宋简体" w:cs="Times New Roman"/>
          <w:bCs/>
          <w:kern w:val="0"/>
          <w:sz w:val="36"/>
          <w:szCs w:val="36"/>
        </w:rPr>
        <w:sectPr>
          <w:footerReference r:id="rId17" w:type="default"/>
          <w:footerReference r:id="rId18" w:type="even"/>
          <w:type w:val="oddPage"/>
          <w:pgSz w:w="11906" w:h="16838"/>
          <w:pgMar w:top="1440" w:right="1800" w:bottom="1440" w:left="1800" w:header="851" w:footer="992" w:gutter="0"/>
          <w:pgNumType w:fmt="decimal" w:start="1"/>
          <w:cols w:space="0" w:num="1"/>
          <w:rtlGutter w:val="0"/>
          <w:docGrid w:type="lines" w:linePitch="435" w:charSpace="0"/>
        </w:sectPr>
      </w:pPr>
    </w:p>
    <w:p>
      <w:pPr>
        <w:pStyle w:val="127"/>
        <w:spacing w:line="560" w:lineRule="exact"/>
        <w:ind w:firstLine="0" w:firstLineChars="0"/>
        <w:jc w:val="center"/>
        <w:rPr>
          <w:rFonts w:hint="default" w:ascii="Times New Roman" w:hAnsi="Times New Roman" w:eastAsia="方正小标宋简体" w:cs="Times New Roman"/>
          <w:bCs/>
          <w:kern w:val="0"/>
          <w:sz w:val="36"/>
          <w:szCs w:val="36"/>
          <w:lang w:val="zh-TW"/>
        </w:rPr>
      </w:pPr>
      <w:r>
        <w:rPr>
          <w:rFonts w:hint="default" w:ascii="Times New Roman" w:hAnsi="Times New Roman" w:eastAsia="方正小标宋简体" w:cs="Times New Roman"/>
          <w:bCs/>
          <w:sz w:val="36"/>
          <w:szCs w:val="36"/>
          <w:lang w:val="zh-TW"/>
        </w:rPr>
        <w:t>市区河渠社会化养护项目</w:t>
      </w:r>
      <w:r>
        <w:rPr>
          <w:rFonts w:hint="default" w:ascii="Times New Roman" w:hAnsi="Times New Roman" w:eastAsia="方正小标宋简体" w:cs="Times New Roman"/>
          <w:bCs/>
          <w:kern w:val="0"/>
          <w:sz w:val="36"/>
          <w:szCs w:val="36"/>
          <w:lang w:val="zh-TW"/>
        </w:rPr>
        <w:t>绩效评价</w:t>
      </w:r>
      <w:bookmarkEnd w:id="3"/>
      <w:bookmarkEnd w:id="4"/>
      <w:bookmarkEnd w:id="5"/>
      <w:r>
        <w:rPr>
          <w:rFonts w:hint="default" w:ascii="Times New Roman" w:hAnsi="Times New Roman" w:eastAsia="方正小标宋简体" w:cs="Times New Roman"/>
          <w:bCs/>
          <w:kern w:val="0"/>
          <w:sz w:val="36"/>
          <w:szCs w:val="36"/>
          <w:lang w:val="zh-TW"/>
        </w:rPr>
        <w:t>报告</w:t>
      </w:r>
    </w:p>
    <w:p>
      <w:pPr>
        <w:pStyle w:val="127"/>
        <w:spacing w:line="560" w:lineRule="exact"/>
        <w:ind w:firstLine="0" w:firstLineChars="0"/>
        <w:jc w:val="center"/>
        <w:rPr>
          <w:rFonts w:hint="default" w:ascii="Times New Roman" w:hAnsi="Times New Roman" w:eastAsia="方正小标宋简体" w:cs="Times New Roman"/>
          <w:bCs/>
          <w:kern w:val="0"/>
          <w:sz w:val="36"/>
          <w:szCs w:val="36"/>
          <w:lang w:val="zh-TW"/>
        </w:rPr>
      </w:pPr>
    </w:p>
    <w:p>
      <w:pPr>
        <w:widowControl w:val="0"/>
        <w:ind w:firstLine="640"/>
        <w:rPr>
          <w:rFonts w:hint="default" w:ascii="Times New Roman" w:hAnsi="Times New Roman" w:cs="Times New Roman"/>
        </w:rPr>
      </w:pPr>
      <w:r>
        <w:rPr>
          <w:rFonts w:hint="default" w:ascii="Times New Roman" w:hAnsi="Times New Roman" w:cs="Times New Roman"/>
          <w:kern w:val="2"/>
          <w:szCs w:val="32"/>
        </w:rPr>
        <w:t>为全面贯彻落实《中共中央 国务院关于全面实施预算绩效管理的意见》（中发〔2018〕34号）和《中共河南省委 河南省人民政府关于全面实施预算绩效管理的实施意见》（豫发〔2019〕10号）、《关于贯彻落实豫发 〔2019〕10号精神全面实施预算绩效管理的通知》（新办发〔2020〕10号）等文件的有关要求，扎实推进市级预算绩效管理工作，根据《新乡市财政局关于印发2022年市级财政重点绩效评价实施方案的通知》（新财效〔2022〕1号）等文件规定，受新乡市财政局的委托，上海锦航会计师事务所有限责任公司成立评价小组，对2022年新乡市“市区河渠社会化养护项目”开展绩效评价。</w:t>
      </w:r>
      <w:r>
        <w:rPr>
          <w:rFonts w:hint="default" w:ascii="Times New Roman" w:hAnsi="Times New Roman" w:cs="Times New Roman"/>
          <w:szCs w:val="32"/>
        </w:rPr>
        <w:t>评价组根据完善后的方案，经资金核查、现场勘查、实地访谈、社会调查等必要的评价程序，运用绩效原理进行分析汇总，形成评价报告。</w:t>
      </w:r>
      <w:bookmarkStart w:id="33" w:name="_Toc24021"/>
      <w:bookmarkStart w:id="34" w:name="_Toc2940"/>
    </w:p>
    <w:p>
      <w:pPr>
        <w:pStyle w:val="3"/>
        <w:ind w:firstLine="643"/>
        <w:rPr>
          <w:rFonts w:hint="default" w:ascii="Times New Roman" w:hAnsi="Times New Roman" w:cs="Times New Roman"/>
          <w:b/>
          <w:bCs w:val="0"/>
        </w:rPr>
      </w:pPr>
      <w:bookmarkStart w:id="35" w:name="_Toc91522485"/>
      <w:r>
        <w:rPr>
          <w:rFonts w:hint="default" w:ascii="Times New Roman" w:hAnsi="Times New Roman" w:cs="Times New Roman"/>
          <w:b/>
          <w:bCs w:val="0"/>
        </w:rPr>
        <w:t>一、</w:t>
      </w:r>
      <w:r>
        <w:rPr>
          <w:rFonts w:hint="default" w:ascii="Times New Roman" w:hAnsi="Times New Roman" w:cs="Times New Roman"/>
        </w:rPr>
        <w:t>基本</w:t>
      </w:r>
      <w:bookmarkEnd w:id="33"/>
      <w:bookmarkEnd w:id="34"/>
      <w:r>
        <w:rPr>
          <w:rFonts w:hint="default" w:ascii="Times New Roman" w:hAnsi="Times New Roman" w:cs="Times New Roman"/>
        </w:rPr>
        <w:t>情况</w:t>
      </w:r>
      <w:bookmarkEnd w:id="35"/>
    </w:p>
    <w:p>
      <w:pPr>
        <w:pStyle w:val="4"/>
        <w:ind w:firstLine="643"/>
        <w:rPr>
          <w:rFonts w:hint="default" w:ascii="Times New Roman" w:hAnsi="Times New Roman" w:cs="Times New Roman"/>
          <w:lang w:val="zh-TW"/>
        </w:rPr>
      </w:pPr>
      <w:bookmarkStart w:id="36" w:name="_Toc7677"/>
      <w:bookmarkStart w:id="37" w:name="_Toc91522486"/>
      <w:r>
        <w:rPr>
          <w:rFonts w:hint="default" w:ascii="Times New Roman" w:hAnsi="Times New Roman" w:cs="Times New Roman"/>
          <w:lang w:val="zh-TW" w:eastAsia="zh-TW"/>
        </w:rPr>
        <w:t>（一）</w:t>
      </w:r>
      <w:bookmarkEnd w:id="36"/>
      <w:bookmarkStart w:id="38" w:name="_Toc469483787"/>
      <w:bookmarkStart w:id="39" w:name="_Toc462732191"/>
      <w:bookmarkStart w:id="40" w:name="_Toc469055569"/>
      <w:bookmarkStart w:id="41" w:name="_Toc401850828"/>
      <w:r>
        <w:rPr>
          <w:rFonts w:hint="default" w:ascii="Times New Roman" w:hAnsi="Times New Roman" w:cs="Times New Roman"/>
        </w:rPr>
        <w:t>项目概况</w:t>
      </w:r>
      <w:bookmarkEnd w:id="37"/>
    </w:p>
    <w:p>
      <w:pPr>
        <w:pStyle w:val="5"/>
        <w:ind w:firstLine="643"/>
        <w:rPr>
          <w:rFonts w:hint="default" w:ascii="Times New Roman" w:hAnsi="Times New Roman" w:cs="Times New Roman"/>
        </w:rPr>
      </w:pPr>
      <w:bookmarkStart w:id="42" w:name="_Toc16322"/>
      <w:r>
        <w:rPr>
          <w:rFonts w:hint="default" w:ascii="Times New Roman" w:hAnsi="Times New Roman" w:cs="Times New Roman"/>
        </w:rPr>
        <w:t>1.项目背景</w:t>
      </w:r>
      <w:bookmarkEnd w:id="38"/>
      <w:bookmarkEnd w:id="39"/>
      <w:bookmarkEnd w:id="40"/>
      <w:bookmarkEnd w:id="42"/>
    </w:p>
    <w:bookmarkEnd w:id="41"/>
    <w:p>
      <w:pPr>
        <w:widowControl w:val="0"/>
        <w:ind w:firstLine="640"/>
        <w:rPr>
          <w:rFonts w:hint="default" w:ascii="Times New Roman" w:hAnsi="Times New Roman" w:cs="Times New Roman"/>
          <w:kern w:val="2"/>
          <w:szCs w:val="32"/>
        </w:rPr>
      </w:pPr>
      <w:bookmarkStart w:id="43" w:name="_Toc24189"/>
      <w:r>
        <w:rPr>
          <w:rFonts w:hint="default" w:ascii="Times New Roman" w:hAnsi="Times New Roman" w:cs="Times New Roman"/>
          <w:kern w:val="2"/>
          <w:szCs w:val="32"/>
        </w:rPr>
        <w:t>城市河流是生态系统的重要组成部分，是防洪排涝的重要通道、水资源的主要载体、生态环境的关键要素，是经济社会可持续发展的基础性资源。营造干净美丽的市区河渠会给一个城市增添更多色彩，帮助城市净化水源，对城市的绿化以及空气净化也有着非常大的作用。市区河渠的养护不仅仅是对市民生活环境的改善，而且市区河渠的养护也是体现政府注重民生工程的一部分。</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《河南省人民政府关于印发河南省城市河流清洁行动计划的通知》</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豫政〔2014〕53号)提出，力争在3年内</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基本完成省辖市和县城规划区内河流综合治理任务。现状水质较差的河流消除黑臭现象</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城市规划区内河流达到一般景观用水标准</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城市规划区过境河流达到国家和省政府规定的达标要求</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现状较好的河流达到地表水环境质量Ⅳ类水标准</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满足娱乐性景观用水标准。城市河流干流及主要支流生态基本恢复</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城市水环境质量明显提升</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河畅水清、岸洁景美、人水和谐的城市河网水系基本形成。</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为全面落实《河南省人民政府关于印发河南省城市河流清洁行动计划的通知》</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豫政〔2014〕53号)、《新乡市人民政府办公室关于印发2014年度全市碧水工程工作实施方案的通知》</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新政办〔2014〕74号)精神</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推进美丽新乡建设</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加快开展新乡市河流综合整治</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改善新乡市城区河流水环境质量，新乡市人民政府制定《新乡市城市河流清洁行动计划实施方案》。新乡市市区河渠综合事务中心（以下简称“市河渠中心”）负责城市河流清洁行动计划具体相关工作。市河渠中心隶属于新乡市水利局下属二级事业单位，年度预算纳入新乡市水利局部门预算。</w:t>
      </w:r>
    </w:p>
    <w:p>
      <w:pPr>
        <w:widowControl w:val="0"/>
        <w:ind w:firstLine="640"/>
        <w:rPr>
          <w:rFonts w:hint="default" w:ascii="Times New Roman" w:hAnsi="Times New Roman" w:eastAsia="仿宋" w:cs="Times New Roman"/>
          <w:kern w:val="2"/>
          <w:szCs w:val="32"/>
        </w:rPr>
      </w:pPr>
      <w:r>
        <w:rPr>
          <w:rFonts w:hint="default" w:ascii="Times New Roman" w:hAnsi="Times New Roman" w:cs="Times New Roman"/>
          <w:kern w:val="2"/>
          <w:szCs w:val="32"/>
        </w:rPr>
        <w:t>为贯彻推行河道管养分离，深化河道养护作业市场化改革，提升养护作业水平，市河渠中心2012年开始试点市区河渠市场化养护工作。并于2022年继续设立“市区河渠社会化养护”项目，进行社会化养护的河段包括卫河1个河段、赵定河6个河段。通过一招签三年确定6家单位</w:t>
      </w:r>
      <w:r>
        <w:rPr>
          <w:rStyle w:val="47"/>
          <w:rFonts w:hint="default" w:ascii="Times New Roman" w:hAnsi="Times New Roman" w:cs="Times New Roman"/>
          <w:kern w:val="2"/>
          <w:szCs w:val="32"/>
        </w:rPr>
        <w:footnoteReference w:id="0"/>
      </w:r>
      <w:r>
        <w:rPr>
          <w:rFonts w:hint="default" w:ascii="Times New Roman" w:hAnsi="Times New Roman" w:cs="Times New Roman"/>
          <w:kern w:val="2"/>
          <w:szCs w:val="32"/>
        </w:rPr>
        <w:t>对7个河段的年度养护工作</w:t>
      </w:r>
      <w:r>
        <w:rPr>
          <w:rFonts w:hint="default" w:ascii="Times New Roman" w:hAnsi="Times New Roman" w:cs="Times New Roman"/>
          <w:kern w:val="2"/>
          <w:lang w:bidi="ar"/>
        </w:rPr>
        <w:t>。</w:t>
      </w:r>
      <w:r>
        <w:rPr>
          <w:rFonts w:hint="default" w:ascii="Times New Roman" w:hAnsi="Times New Roman" w:cs="Times New Roman"/>
          <w:kern w:val="2"/>
          <w:szCs w:val="32"/>
        </w:rPr>
        <w:t>主要养护内容包括：绿化养护、岸坡保洁、水面保洁、设施养护等。养护标准依据《新乡市市区河渠综合事务中心社会化养护管理标准》。</w:t>
      </w:r>
      <w:r>
        <w:rPr>
          <w:rFonts w:hint="default" w:ascii="Times New Roman" w:hAnsi="Times New Roman" w:eastAsia="仿宋" w:cs="Times New Roman"/>
          <w:kern w:val="2"/>
          <w:szCs w:val="32"/>
        </w:rPr>
        <w:t>该项目2020年预算资金473.02万元，实际支出456.52万元，预算执行率96.51%；2021年预算资金517.47万元，实际支出473.19万元，预算执行率91.44%。2022年该项目年初预算558.13万元，财政批复预算279.06万元，年中申请追加100万元，实际到位379.06万元，支出</w:t>
      </w:r>
      <w:r>
        <w:rPr>
          <w:rFonts w:hint="default" w:ascii="Times New Roman" w:hAnsi="Times New Roman" w:eastAsia="仿宋" w:cs="Times New Roman"/>
          <w:kern w:val="2"/>
          <w:szCs w:val="32"/>
          <w:lang w:val="en-US" w:eastAsia="zh-CN"/>
        </w:rPr>
        <w:t>379.06</w:t>
      </w:r>
      <w:r>
        <w:rPr>
          <w:rFonts w:hint="default" w:ascii="Times New Roman" w:hAnsi="Times New Roman" w:eastAsia="仿宋" w:cs="Times New Roman"/>
          <w:kern w:val="2"/>
          <w:szCs w:val="32"/>
        </w:rPr>
        <w:t>万元，用于支付卫河1个河段、赵定河6个河段的社会化日常养护费用。</w:t>
      </w:r>
    </w:p>
    <w:p>
      <w:pPr>
        <w:pStyle w:val="144"/>
        <w:ind w:firstLine="640"/>
        <w:rPr>
          <w:rFonts w:hint="default" w:ascii="Times New Roman" w:hAnsi="Times New Roman" w:eastAsia="仿宋_GB2312" w:cs="Times New Roman"/>
        </w:rPr>
      </w:pPr>
      <w:r>
        <w:rPr>
          <w:rFonts w:hint="default" w:ascii="Times New Roman" w:hAnsi="Times New Roman" w:eastAsia="仿宋_GB2312" w:cs="Times New Roman"/>
          <w:kern w:val="2"/>
          <w:szCs w:val="32"/>
        </w:rPr>
        <w:t>项目旨在对赵定河、卫河水面及岸坡进行社会化</w:t>
      </w:r>
      <w:r>
        <w:rPr>
          <w:rFonts w:hint="default" w:ascii="Times New Roman" w:hAnsi="Times New Roman" w:eastAsia="仿宋_GB2312" w:cs="Times New Roman"/>
        </w:rPr>
        <w:t>养护，丰富城市美丽风景线，人居环境进一步改善，城市管理水平进一步提高，城市风貌特色进一步彰显，城市文明美丽程度得到新提升，城市抗洪抗灾能力明显增强，人民生活更加美好。</w:t>
      </w:r>
    </w:p>
    <w:p>
      <w:pPr>
        <w:pStyle w:val="5"/>
        <w:ind w:firstLine="643"/>
        <w:rPr>
          <w:rFonts w:hint="default" w:ascii="Times New Roman" w:hAnsi="Times New Roman" w:cs="Times New Roman"/>
          <w:lang w:val="zh-TW"/>
        </w:rPr>
      </w:pPr>
      <w:r>
        <w:rPr>
          <w:rFonts w:hint="default" w:ascii="Times New Roman" w:hAnsi="Times New Roman" w:cs="Times New Roman"/>
        </w:rPr>
        <w:t>2.</w:t>
      </w:r>
      <w:r>
        <w:rPr>
          <w:rFonts w:hint="default" w:ascii="Times New Roman" w:hAnsi="Times New Roman" w:cs="Times New Roman"/>
          <w:lang w:val="zh-TW" w:eastAsia="zh-TW"/>
        </w:rPr>
        <w:t>立项依据</w:t>
      </w:r>
      <w:bookmarkEnd w:id="43"/>
    </w:p>
    <w:p>
      <w:pPr>
        <w:pStyle w:val="144"/>
        <w:ind w:firstLine="640"/>
        <w:rPr>
          <w:rFonts w:hint="default" w:ascii="Times New Roman" w:hAnsi="Times New Roman" w:cs="Times New Roman"/>
          <w:kern w:val="2"/>
        </w:rPr>
      </w:pPr>
      <w:bookmarkStart w:id="44" w:name="_Toc11347"/>
      <w:r>
        <w:rPr>
          <w:rFonts w:hint="default" w:ascii="Times New Roman" w:hAnsi="Times New Roman" w:cs="Times New Roman"/>
          <w:kern w:val="2"/>
        </w:rPr>
        <w:t>（1）《河南省人民政府关于印发河南省城市河流清洁行动计划的通知》</w:t>
      </w:r>
      <w:r>
        <w:rPr>
          <w:rFonts w:hint="default" w:ascii="Times New Roman" w:hAnsi="Times New Roman" w:cs="Times New Roman"/>
          <w:kern w:val="2"/>
          <w:lang w:eastAsia="zh-CN"/>
        </w:rPr>
        <w:t>（</w:t>
      </w:r>
      <w:r>
        <w:rPr>
          <w:rFonts w:hint="default" w:ascii="Times New Roman" w:hAnsi="Times New Roman" w:cs="Times New Roman"/>
          <w:kern w:val="2"/>
        </w:rPr>
        <w:t>豫政〔2014〕53号)“实施城市河流清洁行动计划</w:t>
      </w:r>
      <w:r>
        <w:rPr>
          <w:rFonts w:hint="default" w:ascii="Times New Roman" w:hAnsi="Times New Roman" w:cs="Times New Roman"/>
          <w:kern w:val="2"/>
          <w:lang w:eastAsia="zh-CN"/>
        </w:rPr>
        <w:t>，</w:t>
      </w:r>
      <w:r>
        <w:rPr>
          <w:rFonts w:hint="default" w:ascii="Times New Roman" w:hAnsi="Times New Roman" w:cs="Times New Roman"/>
          <w:kern w:val="2"/>
        </w:rPr>
        <w:t>是贯彻落实科学发展观、倒逼经济转型升级的重要抓手</w:t>
      </w:r>
      <w:r>
        <w:rPr>
          <w:rFonts w:hint="default" w:ascii="Times New Roman" w:hAnsi="Times New Roman" w:cs="Times New Roman"/>
          <w:kern w:val="2"/>
          <w:lang w:eastAsia="zh-CN"/>
        </w:rPr>
        <w:t>，</w:t>
      </w:r>
      <w:r>
        <w:rPr>
          <w:rFonts w:hint="default" w:ascii="Times New Roman" w:hAnsi="Times New Roman" w:cs="Times New Roman"/>
          <w:kern w:val="2"/>
        </w:rPr>
        <w:t>是提升城市品质、增强综合竞争力的重大举措</w:t>
      </w:r>
      <w:r>
        <w:rPr>
          <w:rFonts w:hint="default" w:ascii="Times New Roman" w:hAnsi="Times New Roman" w:cs="Times New Roman"/>
          <w:kern w:val="2"/>
          <w:lang w:eastAsia="zh-CN"/>
        </w:rPr>
        <w:t>……</w:t>
      </w:r>
      <w:r>
        <w:rPr>
          <w:rFonts w:hint="default" w:ascii="Times New Roman" w:hAnsi="Times New Roman" w:cs="Times New Roman"/>
          <w:kern w:val="2"/>
        </w:rPr>
        <w:t>”</w:t>
      </w:r>
    </w:p>
    <w:p>
      <w:pPr>
        <w:pStyle w:val="144"/>
        <w:ind w:firstLine="640"/>
        <w:rPr>
          <w:rFonts w:hint="default" w:ascii="Times New Roman" w:hAnsi="Times New Roman" w:cs="Times New Roman"/>
          <w:kern w:val="2"/>
        </w:rPr>
      </w:pPr>
      <w:r>
        <w:rPr>
          <w:rFonts w:hint="default" w:ascii="Times New Roman" w:hAnsi="Times New Roman" w:cs="Times New Roman"/>
          <w:kern w:val="2"/>
        </w:rPr>
        <w:t>（2）《新乡市城市河流清洁行动计划实施方案》（新政〔2015〕4号）“合理利用人民胜利渠渠首水源</w:t>
      </w:r>
      <w:r>
        <w:rPr>
          <w:rFonts w:hint="default" w:ascii="Times New Roman" w:hAnsi="Times New Roman" w:cs="Times New Roman"/>
          <w:kern w:val="2"/>
          <w:lang w:eastAsia="zh-CN"/>
        </w:rPr>
        <w:t>，</w:t>
      </w:r>
      <w:r>
        <w:rPr>
          <w:rFonts w:hint="default" w:ascii="Times New Roman" w:hAnsi="Times New Roman" w:cs="Times New Roman"/>
          <w:kern w:val="2"/>
        </w:rPr>
        <w:t>加大中水利用力度</w:t>
      </w:r>
      <w:r>
        <w:rPr>
          <w:rFonts w:hint="default" w:ascii="Times New Roman" w:hAnsi="Times New Roman" w:cs="Times New Roman"/>
          <w:kern w:val="2"/>
          <w:lang w:eastAsia="zh-CN"/>
        </w:rPr>
        <w:t>，</w:t>
      </w:r>
      <w:r>
        <w:rPr>
          <w:rFonts w:hint="default" w:ascii="Times New Roman" w:hAnsi="Times New Roman" w:cs="Times New Roman"/>
          <w:kern w:val="2"/>
        </w:rPr>
        <w:t>提高雨水综合利用效率</w:t>
      </w:r>
      <w:r>
        <w:rPr>
          <w:rFonts w:hint="default" w:ascii="Times New Roman" w:hAnsi="Times New Roman" w:cs="Times New Roman"/>
          <w:kern w:val="2"/>
          <w:lang w:eastAsia="zh-CN"/>
        </w:rPr>
        <w:t>，</w:t>
      </w:r>
      <w:r>
        <w:rPr>
          <w:rFonts w:hint="default" w:ascii="Times New Roman" w:hAnsi="Times New Roman" w:cs="Times New Roman"/>
          <w:kern w:val="2"/>
        </w:rPr>
        <w:t>建立完善以中水、雨水为动态水源的河道生态补水体系</w:t>
      </w:r>
      <w:r>
        <w:rPr>
          <w:rFonts w:hint="default" w:ascii="Times New Roman" w:hAnsi="Times New Roman" w:cs="Times New Roman"/>
          <w:kern w:val="2"/>
          <w:lang w:eastAsia="zh-CN"/>
        </w:rPr>
        <w:t>，</w:t>
      </w:r>
      <w:r>
        <w:rPr>
          <w:rFonts w:hint="default" w:ascii="Times New Roman" w:hAnsi="Times New Roman" w:cs="Times New Roman"/>
          <w:kern w:val="2"/>
        </w:rPr>
        <w:t>合理调配雨水和再生水进入城市河道循环</w:t>
      </w:r>
      <w:r>
        <w:rPr>
          <w:rFonts w:hint="default" w:ascii="Times New Roman" w:hAnsi="Times New Roman" w:cs="Times New Roman"/>
          <w:kern w:val="2"/>
          <w:lang w:eastAsia="zh-CN"/>
        </w:rPr>
        <w:t>，</w:t>
      </w:r>
      <w:r>
        <w:rPr>
          <w:rFonts w:hint="default" w:ascii="Times New Roman" w:hAnsi="Times New Roman" w:cs="Times New Roman"/>
          <w:kern w:val="2"/>
        </w:rPr>
        <w:t>建设和改造引换水泵站</w:t>
      </w:r>
      <w:r>
        <w:rPr>
          <w:rFonts w:hint="default" w:ascii="Times New Roman" w:hAnsi="Times New Roman" w:cs="Times New Roman"/>
          <w:kern w:val="2"/>
          <w:lang w:eastAsia="zh-CN"/>
        </w:rPr>
        <w:t>，</w:t>
      </w:r>
      <w:r>
        <w:rPr>
          <w:rFonts w:hint="default" w:ascii="Times New Roman" w:hAnsi="Times New Roman" w:cs="Times New Roman"/>
          <w:kern w:val="2"/>
        </w:rPr>
        <w:t>保证合理的河水流速</w:t>
      </w:r>
      <w:r>
        <w:rPr>
          <w:rFonts w:hint="default" w:ascii="Times New Roman" w:hAnsi="Times New Roman" w:cs="Times New Roman"/>
          <w:kern w:val="2"/>
          <w:lang w:eastAsia="zh-CN"/>
        </w:rPr>
        <w:t>，</w:t>
      </w:r>
      <w:r>
        <w:rPr>
          <w:rFonts w:hint="default" w:ascii="Times New Roman" w:hAnsi="Times New Roman" w:cs="Times New Roman"/>
          <w:kern w:val="2"/>
        </w:rPr>
        <w:t>增强水体自净能力</w:t>
      </w:r>
      <w:r>
        <w:rPr>
          <w:rFonts w:hint="default" w:ascii="Times New Roman" w:hAnsi="Times New Roman" w:cs="Times New Roman"/>
          <w:kern w:val="2"/>
          <w:lang w:eastAsia="zh-CN"/>
        </w:rPr>
        <w:t>……</w:t>
      </w:r>
      <w:r>
        <w:rPr>
          <w:rFonts w:hint="default" w:ascii="Times New Roman" w:hAnsi="Times New Roman" w:cs="Times New Roman"/>
          <w:kern w:val="2"/>
        </w:rPr>
        <w:t>”</w:t>
      </w:r>
    </w:p>
    <w:p>
      <w:pPr>
        <w:pStyle w:val="5"/>
        <w:ind w:firstLine="643"/>
        <w:rPr>
          <w:rFonts w:hint="default" w:ascii="Times New Roman" w:hAnsi="Times New Roman" w:cs="Times New Roman"/>
          <w:highlight w:val="yellow"/>
          <w:lang w:val="zh-TW"/>
        </w:rPr>
      </w:pPr>
      <w:r>
        <w:rPr>
          <w:rFonts w:hint="default" w:ascii="Times New Roman" w:hAnsi="Times New Roman" w:cs="Times New Roman"/>
        </w:rPr>
        <w:t>3.</w:t>
      </w:r>
      <w:bookmarkEnd w:id="44"/>
      <w:r>
        <w:rPr>
          <w:rFonts w:hint="default" w:ascii="Times New Roman" w:hAnsi="Times New Roman" w:cs="Times New Roman"/>
          <w:lang w:val="zh-TW" w:eastAsia="zh-TW"/>
        </w:rPr>
        <w:t>主要内容及实施情况</w:t>
      </w:r>
    </w:p>
    <w:p>
      <w:pPr>
        <w:ind w:firstLine="640"/>
        <w:jc w:val="left"/>
        <w:rPr>
          <w:rFonts w:hint="default" w:ascii="Times New Roman" w:hAnsi="Times New Roman" w:cs="Times New Roman"/>
          <w:b/>
          <w:bCs/>
          <w:kern w:val="2"/>
          <w:szCs w:val="32"/>
        </w:rPr>
      </w:pPr>
      <w:r>
        <w:rPr>
          <w:rFonts w:hint="default" w:ascii="Times New Roman" w:hAnsi="Times New Roman" w:cs="Times New Roman"/>
        </w:rPr>
        <w:t>（1）</w:t>
      </w:r>
      <w:r>
        <w:rPr>
          <w:rFonts w:hint="default" w:ascii="Times New Roman" w:hAnsi="Times New Roman" w:cs="Times New Roman"/>
          <w:kern w:val="2"/>
          <w:szCs w:val="32"/>
        </w:rPr>
        <w:t>计划与实际实施情况</w:t>
      </w:r>
    </w:p>
    <w:p>
      <w:pPr>
        <w:ind w:firstLine="640"/>
        <w:rPr>
          <w:rFonts w:hint="default" w:ascii="Times New Roman" w:hAnsi="Times New Roman" w:cs="Times New Roman"/>
        </w:rPr>
      </w:pPr>
      <w:bookmarkStart w:id="45" w:name="_Toc29204"/>
      <w:r>
        <w:rPr>
          <w:rFonts w:hint="default" w:ascii="Times New Roman" w:hAnsi="Times New Roman" w:cs="Times New Roman"/>
          <w:kern w:val="2"/>
          <w:szCs w:val="32"/>
        </w:rPr>
        <w:t>根据市河渠中心与各中标单位签订的养护合同，该项目实施内容包括养护管理卫河下游绿地面积15万㎡；赵定河绿地面积26.2万㎡；卫河下游水面面积20万㎡；赵定河水面面积23.43万㎡。</w:t>
      </w:r>
    </w:p>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表1-1：市区河渠河段社会化养护情况</w:t>
      </w:r>
    </w:p>
    <w:tbl>
      <w:tblPr>
        <w:tblStyle w:val="37"/>
        <w:tblW w:w="57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978"/>
        <w:gridCol w:w="2633"/>
        <w:gridCol w:w="811"/>
        <w:gridCol w:w="706"/>
        <w:gridCol w:w="1064"/>
        <w:gridCol w:w="1078"/>
        <w:gridCol w:w="1545"/>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jc w:val="center"/>
        </w:trPr>
        <w:tc>
          <w:tcPr>
            <w:tcW w:w="226"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序号</w:t>
            </w:r>
          </w:p>
        </w:tc>
        <w:tc>
          <w:tcPr>
            <w:tcW w:w="484"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养护公司名称</w:t>
            </w:r>
          </w:p>
        </w:tc>
        <w:tc>
          <w:tcPr>
            <w:tcW w:w="1302"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委托内容</w:t>
            </w:r>
          </w:p>
        </w:tc>
        <w:tc>
          <w:tcPr>
            <w:tcW w:w="401"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河道名称</w:t>
            </w:r>
          </w:p>
        </w:tc>
        <w:tc>
          <w:tcPr>
            <w:tcW w:w="349"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公里</w:t>
            </w:r>
          </w:p>
        </w:tc>
        <w:tc>
          <w:tcPr>
            <w:tcW w:w="527"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养护期限</w:t>
            </w:r>
          </w:p>
        </w:tc>
        <w:tc>
          <w:tcPr>
            <w:tcW w:w="534"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养护单位注册地</w:t>
            </w:r>
          </w:p>
        </w:tc>
        <w:tc>
          <w:tcPr>
            <w:tcW w:w="765"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合同人员配备</w:t>
            </w:r>
          </w:p>
        </w:tc>
        <w:tc>
          <w:tcPr>
            <w:tcW w:w="409"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河南龙安园林绿化工程有限公司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东牧村橡胶坝至新中大道橡胶坝段的绿化养护、岸坡保洁、水面保洁、设施设备维护、巡查保护等，岸坡面积15万平方米、水面面积20万平方米，养护期三年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卫河</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4.25</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2021.5.18-2024.5.18</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安阳市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卫生保洁员8人；绿化养护人员20人；设施维修人员4人；其他人员10人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焦作市晓尚园林有限公司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赵定河人渠至劳动街、劳动街至和平大道段的绿化养护、岸坡保洁、水面保洁、设施设备维护、巡查保护等，绿地面积6.44万平方米、水面面积4.51万平方米，养护期三年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赵定河（五孔闸段）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1.825</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2021.10.15-2024.10.15</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焦作市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卫生保洁员2人；绿化养护人员6人；设施维修人员1人；其他人员1人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河南华泰市政园林工程有限公司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赵定河胜利街至劳动街段的绿化养护、岸坡保洁、水面保洁、设施设备维护、巡查保护等，绿地面积6.28万平方米、水面面积5.56万平方米，养护期三年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1.028</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2019.6.12-2022.6.12</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sz w:val="20"/>
                <w:szCs w:val="20"/>
              </w:rPr>
              <w:t>卫生保洁员4人；绿化养护人员5人；设施维修人员2人；其他人员3人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sz w:val="20"/>
                <w:szCs w:val="20"/>
              </w:rPr>
            </w:pPr>
            <w:r>
              <w:rPr>
                <w:rFonts w:hint="default" w:ascii="Times New Roman" w:hAnsi="Times New Roman" w:cs="Times New Roman"/>
                <w:sz w:val="20"/>
                <w:szCs w:val="20"/>
              </w:rPr>
              <w:t>养护期限6月份到期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新乡市园林绿化工程有限公司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老新延路至新中大道段的绿化养护、岸坡保洁、水面保洁、设施设备维护、巡查保护等，绿地面积6.14万平方米、水面面积5.97万平方米，养护期三年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新一街段)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1.342</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2021.12.3-2024.12.3</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新乡市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卫生保洁员3人；绿化养护人员6人；设施维修人员2人；其他人员2人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河南华泰市政园林工程有限公司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南干桥上游200米至人民路段、平原路下游200米至新五街段的绿化养护、岸坡保洁、水面保洁、设施设备维护、巡查保护等，绿地面积3.1万平方米、水面面积3.62万平方米，养护期三年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兰示段)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2021.11.29-2024.11.29</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卫生保洁员3人；绿化养护人员3人；设施维修人员1人；其他人员2人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河南龙安园林绿化工程有限公司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赵定河人民路至平原路段、兰亭花园东至新五街左岸段的绿化养护、岸坡保洁、水面保洁、设施设备维护、巡查保护等，绿地面积1.19万平方米、水面面积1.3万平方米，养护期三年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人民路段)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0.573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2021.10.15-2024.10.15</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安阳市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卫生保洁员1人；绿化养护人员1人；设施维修人员1人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万绿生态园林股份有限公司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平原桥下游200米、新五街</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荣校东路段的绿化养护、岸坡保洁、水面保洁、设施设备维护、巡查保护等，绿地面积3.05万平方米、水面面积2.47万平方米，养护期三年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新五街段)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0.73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2021.12.3-2024.12.3</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许昌市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卫生保洁员2人；绿化养护人员4人；设施维修人员1人；其他人员5人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8</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河南木森林园林绿化工程有限公司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赵定河胜利街至劳动街段的绿化养护、岸坡保洁、水面保洁、设施设备维护、巡查保护等，绿地面积6.28万平方米、水面面积5.56万平方米，养护期三年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1.028</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2022.8.26-2025.8.26</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卫生保洁员4人；绿化养护人员5人；设施设备维修人员2人；其他人员3人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赵定河胜利街段新中标单位</w:t>
            </w:r>
          </w:p>
        </w:tc>
      </w:tr>
    </w:tbl>
    <w:p>
      <w:pPr>
        <w:ind w:firstLine="0" w:firstLineChars="0"/>
        <w:rPr>
          <w:rFonts w:hint="default" w:ascii="Times New Roman" w:hAnsi="Times New Roman" w:cs="Times New Roman"/>
          <w:lang w:val="zh-TW" w:eastAsia="zh-TW"/>
        </w:rPr>
        <w:sectPr>
          <w:footnotePr>
            <w:numRestart w:val="eachPage"/>
          </w:footnotePr>
          <w:type w:val="oddPage"/>
          <w:pgSz w:w="11906" w:h="16838"/>
          <w:pgMar w:top="1304" w:right="1701" w:bottom="1304" w:left="1701" w:header="850" w:footer="992" w:gutter="0"/>
          <w:pgNumType w:fmt="decimal"/>
          <w:cols w:space="0" w:num="1"/>
          <w:rtlGutter w:val="0"/>
          <w:docGrid w:type="lines" w:linePitch="435" w:charSpace="0"/>
        </w:sectPr>
      </w:pPr>
    </w:p>
    <w:p>
      <w:pPr>
        <w:pStyle w:val="5"/>
        <w:ind w:firstLine="643"/>
        <w:rPr>
          <w:rFonts w:hint="default" w:ascii="Times New Roman" w:hAnsi="Times New Roman" w:cs="Times New Roman"/>
        </w:rPr>
      </w:pPr>
      <w:r>
        <w:rPr>
          <w:rFonts w:hint="default" w:ascii="Times New Roman" w:hAnsi="Times New Roman" w:cs="Times New Roman"/>
        </w:rPr>
        <w:t>4.</w:t>
      </w:r>
      <w:bookmarkEnd w:id="45"/>
      <w:r>
        <w:rPr>
          <w:rFonts w:hint="default" w:ascii="Times New Roman" w:hAnsi="Times New Roman" w:cs="Times New Roman"/>
        </w:rPr>
        <w:t>资金投入和使用情况</w:t>
      </w:r>
    </w:p>
    <w:p>
      <w:pPr>
        <w:ind w:firstLine="640"/>
        <w:rPr>
          <w:rFonts w:hint="default" w:ascii="Times New Roman" w:hAnsi="Times New Roman" w:cs="Times New Roman"/>
        </w:rPr>
      </w:pPr>
      <w:bookmarkStart w:id="46" w:name="_Toc16311"/>
      <w:r>
        <w:rPr>
          <w:rFonts w:hint="default" w:ascii="Times New Roman" w:hAnsi="Times New Roman" w:cs="Times New Roman"/>
          <w:lang w:val="zh-TW" w:eastAsia="zh-TW"/>
        </w:rPr>
        <w:t>（</w:t>
      </w:r>
      <w:r>
        <w:rPr>
          <w:rFonts w:hint="default" w:ascii="Times New Roman" w:hAnsi="Times New Roman" w:cs="Times New Roman"/>
        </w:rPr>
        <w:t>1</w:t>
      </w:r>
      <w:r>
        <w:rPr>
          <w:rFonts w:hint="default" w:ascii="Times New Roman" w:hAnsi="Times New Roman" w:cs="Times New Roman"/>
          <w:lang w:val="zh-TW" w:eastAsia="zh-TW"/>
        </w:rPr>
        <w:t>）</w:t>
      </w:r>
      <w:r>
        <w:rPr>
          <w:rFonts w:hint="default" w:ascii="Times New Roman" w:hAnsi="Times New Roman" w:cs="Times New Roman"/>
        </w:rPr>
        <w:t>预算资金来源</w:t>
      </w:r>
      <w:bookmarkEnd w:id="46"/>
    </w:p>
    <w:p>
      <w:pPr>
        <w:keepNext/>
        <w:keepLines/>
        <w:ind w:firstLine="640"/>
        <w:outlineLvl w:val="2"/>
        <w:rPr>
          <w:rFonts w:hint="default" w:ascii="Times New Roman" w:hAnsi="Times New Roman" w:cs="Times New Roman"/>
          <w:szCs w:val="20"/>
        </w:rPr>
      </w:pPr>
      <w:bookmarkStart w:id="47" w:name="_Toc13323"/>
      <w:r>
        <w:rPr>
          <w:rFonts w:hint="default" w:ascii="Times New Roman" w:hAnsi="Times New Roman" w:cs="Times New Roman"/>
          <w:szCs w:val="20"/>
        </w:rPr>
        <w:t>2022年市区河渠社会化养护项目年度财政批复预算资金279.06万元，其中，卫河养护费用90.63万元，赵定河养护费用188.43万元，全部来源于市级财政资金，具体资金构成明细如下：</w:t>
      </w:r>
    </w:p>
    <w:p>
      <w:pPr>
        <w:ind w:firstLine="562"/>
        <w:jc w:val="center"/>
        <w:rPr>
          <w:rFonts w:hint="default" w:ascii="Times New Roman" w:hAnsi="Times New Roman" w:cs="Times New Roman"/>
          <w:b/>
          <w:bCs/>
          <w:kern w:val="2"/>
          <w:sz w:val="28"/>
          <w:szCs w:val="28"/>
        </w:rPr>
      </w:pPr>
      <w:r>
        <w:rPr>
          <w:rFonts w:hint="default" w:ascii="Times New Roman" w:hAnsi="Times New Roman" w:cs="Times New Roman"/>
          <w:b/>
          <w:bCs/>
          <w:kern w:val="2"/>
          <w:sz w:val="28"/>
          <w:szCs w:val="28"/>
        </w:rPr>
        <w:t>表1-2：市区河渠社会化养护项目预算资金构成明细表</w:t>
      </w:r>
    </w:p>
    <w:p>
      <w:pPr>
        <w:ind w:firstLine="562"/>
        <w:jc w:val="right"/>
        <w:rPr>
          <w:rFonts w:hint="default" w:ascii="Times New Roman" w:hAnsi="Times New Roman" w:cs="Times New Roman"/>
          <w:b/>
          <w:bCs/>
          <w:kern w:val="2"/>
          <w:sz w:val="28"/>
          <w:szCs w:val="28"/>
        </w:rPr>
      </w:pPr>
      <w:r>
        <w:rPr>
          <w:rFonts w:hint="default" w:ascii="Times New Roman" w:hAnsi="Times New Roman" w:cs="Times New Roman"/>
          <w:b/>
          <w:bCs/>
          <w:kern w:val="2"/>
          <w:sz w:val="28"/>
          <w:szCs w:val="28"/>
        </w:rPr>
        <w:t>单位：万元</w:t>
      </w:r>
    </w:p>
    <w:tbl>
      <w:tblPr>
        <w:tblStyle w:val="37"/>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3"/>
        <w:gridCol w:w="2383"/>
        <w:gridCol w:w="1721"/>
        <w:gridCol w:w="2125"/>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shd w:val="clear" w:color="auto" w:fill="BEBEBE"/>
            <w:vAlign w:val="center"/>
          </w:tcPr>
          <w:p>
            <w:pPr>
              <w:spacing w:line="240" w:lineRule="auto"/>
              <w:ind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序号</w:t>
            </w:r>
          </w:p>
        </w:tc>
        <w:tc>
          <w:tcPr>
            <w:tcW w:w="1398" w:type="pct"/>
            <w:shd w:val="clear" w:color="auto" w:fill="BEBEBE"/>
            <w:vAlign w:val="center"/>
          </w:tcPr>
          <w:p>
            <w:pPr>
              <w:spacing w:line="240" w:lineRule="auto"/>
              <w:ind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河段名称</w:t>
            </w:r>
          </w:p>
        </w:tc>
        <w:tc>
          <w:tcPr>
            <w:tcW w:w="1010" w:type="pct"/>
            <w:shd w:val="clear" w:color="auto" w:fill="BEBEBE"/>
            <w:vAlign w:val="center"/>
          </w:tcPr>
          <w:p>
            <w:pPr>
              <w:spacing w:line="240" w:lineRule="auto"/>
              <w:ind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合同金额</w:t>
            </w:r>
          </w:p>
        </w:tc>
        <w:tc>
          <w:tcPr>
            <w:tcW w:w="1247" w:type="pct"/>
            <w:shd w:val="clear" w:color="auto" w:fill="BEBEBE"/>
            <w:vAlign w:val="center"/>
          </w:tcPr>
          <w:p>
            <w:pPr>
              <w:spacing w:line="240" w:lineRule="auto"/>
              <w:ind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批复金额</w:t>
            </w:r>
          </w:p>
        </w:tc>
        <w:tc>
          <w:tcPr>
            <w:tcW w:w="601" w:type="pct"/>
            <w:shd w:val="clear" w:color="auto" w:fill="BEBEBE"/>
            <w:vAlign w:val="center"/>
          </w:tcPr>
          <w:p>
            <w:pPr>
              <w:spacing w:line="240" w:lineRule="auto"/>
              <w:ind w:firstLine="0" w:firstLineChars="0"/>
              <w:jc w:val="center"/>
              <w:rPr>
                <w:rFonts w:hint="default" w:ascii="Times New Roman" w:hAnsi="Times New Roman" w:cs="Times New Roman"/>
                <w:b/>
                <w:bCs/>
                <w:sz w:val="24"/>
                <w:szCs w:val="24"/>
              </w:rPr>
            </w:pPr>
            <w:r>
              <w:rPr>
                <w:rFonts w:hint="default" w:ascii="Times New Roman" w:hAnsi="Times New Roman" w:cs="Times New Roman"/>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1</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卫河下游段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546</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90.63</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赵定河五孔闸段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228</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37.85</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3</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赵定河胜利街段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229.62</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49.57</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4</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赵定河新一街</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242.99</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40.34</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5</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赵定河兰示段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183.48</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30.46</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6</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赵定河人民路段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60</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9.96</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7</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赵定河新五街段</w:t>
            </w:r>
          </w:p>
        </w:tc>
        <w:tc>
          <w:tcPr>
            <w:tcW w:w="1010"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122.20</w:t>
            </w: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20.25</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1"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b/>
                <w:bCs/>
                <w:sz w:val="24"/>
                <w:szCs w:val="24"/>
              </w:rPr>
              <w:t>合计</w:t>
            </w:r>
          </w:p>
        </w:tc>
        <w:tc>
          <w:tcPr>
            <w:tcW w:w="1398" w:type="pct"/>
            <w:vAlign w:val="center"/>
          </w:tcPr>
          <w:p>
            <w:pPr>
              <w:spacing w:line="240" w:lineRule="auto"/>
              <w:ind w:firstLine="0" w:firstLineChars="0"/>
              <w:jc w:val="center"/>
              <w:rPr>
                <w:rFonts w:hint="default" w:ascii="Times New Roman" w:hAnsi="Times New Roman" w:cs="Times New Roman"/>
                <w:sz w:val="24"/>
                <w:szCs w:val="24"/>
              </w:rPr>
            </w:pPr>
          </w:p>
        </w:tc>
        <w:tc>
          <w:tcPr>
            <w:tcW w:w="1010" w:type="pct"/>
            <w:vAlign w:val="center"/>
          </w:tcPr>
          <w:p>
            <w:pPr>
              <w:spacing w:line="240" w:lineRule="auto"/>
              <w:ind w:firstLine="0" w:firstLineChars="0"/>
              <w:jc w:val="center"/>
              <w:rPr>
                <w:rFonts w:hint="default" w:ascii="Times New Roman" w:hAnsi="Times New Roman" w:cs="Times New Roman"/>
                <w:sz w:val="24"/>
                <w:szCs w:val="24"/>
              </w:rPr>
            </w:pPr>
          </w:p>
        </w:tc>
        <w:tc>
          <w:tcPr>
            <w:tcW w:w="1247" w:type="pct"/>
            <w:vAlign w:val="center"/>
          </w:tcPr>
          <w:p>
            <w:pPr>
              <w:spacing w:line="240" w:lineRule="auto"/>
              <w:ind w:firstLine="0" w:firstLineChars="0"/>
              <w:jc w:val="center"/>
              <w:rPr>
                <w:rFonts w:hint="default" w:ascii="Times New Roman" w:hAnsi="Times New Roman" w:cs="Times New Roman"/>
                <w:sz w:val="24"/>
                <w:szCs w:val="24"/>
              </w:rPr>
            </w:pPr>
            <w:r>
              <w:rPr>
                <w:rFonts w:hint="default" w:ascii="Times New Roman" w:hAnsi="Times New Roman" w:cs="Times New Roman"/>
                <w:sz w:val="24"/>
                <w:szCs w:val="24"/>
              </w:rPr>
              <w:t>279.06</w:t>
            </w:r>
          </w:p>
        </w:tc>
        <w:tc>
          <w:tcPr>
            <w:tcW w:w="601" w:type="pct"/>
            <w:vAlign w:val="center"/>
          </w:tcPr>
          <w:p>
            <w:pPr>
              <w:spacing w:line="240" w:lineRule="auto"/>
              <w:ind w:firstLine="0" w:firstLineChars="0"/>
              <w:jc w:val="center"/>
              <w:rPr>
                <w:rFonts w:hint="default" w:ascii="Times New Roman" w:hAnsi="Times New Roman" w:cs="Times New Roman"/>
                <w:sz w:val="24"/>
                <w:szCs w:val="24"/>
              </w:rPr>
            </w:pPr>
          </w:p>
        </w:tc>
      </w:tr>
    </w:tbl>
    <w:p>
      <w:pPr>
        <w:ind w:firstLine="640"/>
        <w:rPr>
          <w:rFonts w:hint="default" w:ascii="Times New Roman" w:hAnsi="Times New Roman" w:cs="Times New Roman"/>
        </w:rPr>
      </w:pPr>
      <w:r>
        <w:rPr>
          <w:rFonts w:hint="default" w:ascii="Times New Roman" w:hAnsi="Times New Roman" w:cs="Times New Roman"/>
          <w:lang w:val="zh-TW" w:eastAsia="zh-TW"/>
        </w:rPr>
        <w:t>（</w:t>
      </w:r>
      <w:r>
        <w:rPr>
          <w:rFonts w:hint="default" w:ascii="Times New Roman" w:hAnsi="Times New Roman" w:cs="Times New Roman"/>
        </w:rPr>
        <w:t>2</w:t>
      </w:r>
      <w:r>
        <w:rPr>
          <w:rFonts w:hint="default" w:ascii="Times New Roman" w:hAnsi="Times New Roman" w:cs="Times New Roman"/>
          <w:lang w:val="zh-TW" w:eastAsia="zh-TW"/>
        </w:rPr>
        <w:t>）</w:t>
      </w:r>
      <w:r>
        <w:rPr>
          <w:rFonts w:hint="default" w:ascii="Times New Roman" w:hAnsi="Times New Roman" w:cs="Times New Roman"/>
        </w:rPr>
        <w:t>资金使用情况</w:t>
      </w:r>
      <w:bookmarkEnd w:id="47"/>
    </w:p>
    <w:p>
      <w:pPr>
        <w:ind w:firstLine="640"/>
        <w:rPr>
          <w:rFonts w:hint="default" w:ascii="Times New Roman" w:hAnsi="Times New Roman" w:cs="Times New Roman"/>
          <w:szCs w:val="32"/>
        </w:rPr>
      </w:pPr>
      <w:bookmarkStart w:id="48" w:name="_Toc4909"/>
      <w:bookmarkStart w:id="49" w:name="_Hlk35345264"/>
      <w:bookmarkStart w:id="50" w:name="_Hlk35345322"/>
      <w:r>
        <w:rPr>
          <w:rFonts w:hint="default" w:ascii="Times New Roman" w:hAnsi="Times New Roman" w:cs="Times New Roman"/>
          <w:szCs w:val="32"/>
        </w:rPr>
        <w:t>依据市河渠中心提供的相关财务资料显示，</w:t>
      </w:r>
      <w:r>
        <w:rPr>
          <w:rFonts w:hint="default" w:ascii="Times New Roman" w:hAnsi="Times New Roman" w:cs="Times New Roman"/>
          <w:kern w:val="2"/>
          <w:lang w:bidi="ar"/>
        </w:rPr>
        <w:t>该项目2022年预算资金558.13万元，财政批复279.06万元，年中追加100万元，截至评价日，共到位资金379.06万元，支出</w:t>
      </w:r>
      <w:r>
        <w:rPr>
          <w:rFonts w:hint="default" w:ascii="Times New Roman" w:hAnsi="Times New Roman" w:cs="Times New Roman"/>
          <w:kern w:val="2"/>
          <w:lang w:val="en-US" w:eastAsia="zh-CN" w:bidi="ar"/>
        </w:rPr>
        <w:t>379.06</w:t>
      </w:r>
      <w:r>
        <w:rPr>
          <w:rFonts w:hint="default" w:ascii="Times New Roman" w:hAnsi="Times New Roman" w:cs="Times New Roman"/>
          <w:kern w:val="2"/>
          <w:lang w:bidi="ar"/>
        </w:rPr>
        <w:t>万元，预算执行率</w:t>
      </w:r>
      <w:r>
        <w:rPr>
          <w:rFonts w:hint="default" w:ascii="Times New Roman" w:hAnsi="Times New Roman" w:cs="Times New Roman"/>
          <w:kern w:val="2"/>
          <w:lang w:val="en-US" w:eastAsia="zh-CN" w:bidi="ar"/>
        </w:rPr>
        <w:t>100</w:t>
      </w:r>
      <w:r>
        <w:rPr>
          <w:rFonts w:hint="default" w:ascii="Times New Roman" w:hAnsi="Times New Roman" w:cs="Times New Roman"/>
          <w:kern w:val="2"/>
          <w:lang w:bidi="ar"/>
        </w:rPr>
        <w:t>%。全部用于支付各标段养护费用。</w:t>
      </w:r>
    </w:p>
    <w:p>
      <w:pPr>
        <w:ind w:firstLine="640"/>
        <w:rPr>
          <w:rFonts w:hint="default" w:ascii="Times New Roman" w:hAnsi="Times New Roman" w:cs="Times New Roman"/>
          <w:szCs w:val="32"/>
        </w:rPr>
      </w:pPr>
      <w:r>
        <w:rPr>
          <w:rFonts w:hint="default" w:ascii="Times New Roman" w:hAnsi="Times New Roman" w:cs="Times New Roman"/>
          <w:szCs w:val="32"/>
        </w:rPr>
        <w:t>（3）项目资金拨付流程</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本项目预算由新乡市市</w:t>
      </w:r>
      <w:r>
        <w:rPr>
          <w:rFonts w:hint="default" w:ascii="Times New Roman" w:hAnsi="Times New Roman" w:cs="Times New Roman"/>
          <w:kern w:val="2"/>
          <w:szCs w:val="32"/>
          <w:lang w:val="en-US" w:eastAsia="zh-CN"/>
        </w:rPr>
        <w:t>区</w:t>
      </w:r>
      <w:r>
        <w:rPr>
          <w:rFonts w:hint="default" w:ascii="Times New Roman" w:hAnsi="Times New Roman" w:cs="Times New Roman"/>
          <w:kern w:val="2"/>
          <w:szCs w:val="32"/>
        </w:rPr>
        <w:t>河渠中心提出，经市财政局批复后，拨付至市河渠中心，市河渠中心依据季度验收情况拨付至养护单位。</w:t>
      </w:r>
    </w:p>
    <w:p>
      <w:pPr>
        <w:pStyle w:val="16"/>
        <w:ind w:firstLine="400"/>
        <w:rPr>
          <w:rFonts w:hint="default" w:ascii="Times New Roman" w:hAnsi="Times New Roman" w:cs="Times New Roman"/>
          <w:lang w:eastAsia="zh-CN"/>
        </w:rPr>
      </w:pPr>
      <w:r>
        <w:rPr>
          <w:rFonts w:hint="default" w:ascii="Times New Roman" w:hAnsi="Times New Roman" w:cs="Times New Roman"/>
          <w:lang w:eastAsia="zh-CN"/>
        </w:rPr>
        <w:drawing>
          <wp:inline distT="0" distB="0" distL="114300" distR="114300">
            <wp:extent cx="5276850" cy="1095375"/>
            <wp:effectExtent l="0" t="0" r="11430" b="1905"/>
            <wp:docPr id="52" name="图片 11" descr="25c104554bbce258d02cf8147ed46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1" descr="25c104554bbce258d02cf8147ed46af"/>
                    <pic:cNvPicPr>
                      <a:picLocks noChangeAspect="1"/>
                    </pic:cNvPicPr>
                  </pic:nvPicPr>
                  <pic:blipFill>
                    <a:blip r:embed="rId24"/>
                    <a:stretch>
                      <a:fillRect/>
                    </a:stretch>
                  </pic:blipFill>
                  <pic:spPr>
                    <a:xfrm>
                      <a:off x="0" y="0"/>
                      <a:ext cx="5276850" cy="1095375"/>
                    </a:xfrm>
                    <a:prstGeom prst="rect">
                      <a:avLst/>
                    </a:prstGeom>
                    <a:noFill/>
                    <a:ln>
                      <a:noFill/>
                    </a:ln>
                  </pic:spPr>
                </pic:pic>
              </a:graphicData>
            </a:graphic>
          </wp:inline>
        </w:drawing>
      </w:r>
    </w:p>
    <w:p>
      <w:pPr>
        <w:pStyle w:val="144"/>
        <w:ind w:firstLine="0" w:firstLineChars="0"/>
        <w:jc w:val="center"/>
        <w:rPr>
          <w:rFonts w:hint="default" w:ascii="Times New Roman" w:hAnsi="Times New Roman" w:cs="Times New Roman"/>
          <w:b/>
          <w:bCs/>
          <w:sz w:val="28"/>
          <w:szCs w:val="24"/>
        </w:rPr>
      </w:pPr>
      <w:r>
        <w:rPr>
          <w:rFonts w:hint="default" w:ascii="Times New Roman" w:hAnsi="Times New Roman" w:cs="Times New Roman"/>
          <w:b/>
          <w:bCs/>
          <w:sz w:val="28"/>
          <w:szCs w:val="24"/>
        </w:rPr>
        <w:t>图1-2：资金管理流程图</w:t>
      </w:r>
    </w:p>
    <w:p>
      <w:pPr>
        <w:pStyle w:val="5"/>
        <w:ind w:firstLine="643"/>
        <w:rPr>
          <w:rFonts w:hint="default" w:ascii="Times New Roman" w:hAnsi="Times New Roman" w:cs="Times New Roman"/>
          <w:lang w:val="zh-TW" w:eastAsia="zh-TW"/>
        </w:rPr>
      </w:pPr>
      <w:r>
        <w:rPr>
          <w:rFonts w:hint="default" w:ascii="Times New Roman" w:hAnsi="Times New Roman" w:cs="Times New Roman"/>
        </w:rPr>
        <w:t>5.</w:t>
      </w:r>
      <w:r>
        <w:rPr>
          <w:rFonts w:hint="default" w:ascii="Times New Roman" w:hAnsi="Times New Roman" w:cs="Times New Roman"/>
          <w:lang w:val="zh-TW" w:eastAsia="zh-TW"/>
        </w:rPr>
        <w:t>项目组织及管理</w:t>
      </w:r>
      <w:bookmarkEnd w:id="48"/>
    </w:p>
    <w:p>
      <w:pPr>
        <w:ind w:firstLine="640"/>
        <w:rPr>
          <w:rFonts w:hint="default" w:ascii="Times New Roman" w:hAnsi="Times New Roman" w:cs="Times New Roman"/>
        </w:rPr>
      </w:pPr>
      <w:bookmarkStart w:id="51" w:name="_Toc9122"/>
      <w:r>
        <w:rPr>
          <w:rFonts w:hint="default" w:ascii="Times New Roman" w:hAnsi="Times New Roman" w:cs="Times New Roman"/>
          <w:lang w:val="zh-TW" w:eastAsia="zh-TW"/>
        </w:rPr>
        <w:t>（</w:t>
      </w:r>
      <w:r>
        <w:rPr>
          <w:rFonts w:hint="default" w:ascii="Times New Roman" w:hAnsi="Times New Roman" w:cs="Times New Roman"/>
        </w:rPr>
        <w:t>1</w:t>
      </w:r>
      <w:r>
        <w:rPr>
          <w:rFonts w:hint="default" w:ascii="Times New Roman" w:hAnsi="Times New Roman" w:cs="Times New Roman"/>
          <w:lang w:val="zh-TW" w:eastAsia="zh-TW"/>
        </w:rPr>
        <w:t>）</w:t>
      </w:r>
      <w:r>
        <w:rPr>
          <w:rFonts w:hint="default" w:ascii="Times New Roman" w:hAnsi="Times New Roman" w:cs="Times New Roman"/>
        </w:rPr>
        <w:t>相关方职责</w:t>
      </w:r>
      <w:bookmarkEnd w:id="51"/>
    </w:p>
    <w:p>
      <w:pPr>
        <w:pStyle w:val="2"/>
        <w:rPr>
          <w:rFonts w:hint="default" w:ascii="Times New Roman" w:hAnsi="Times New Roman" w:eastAsia="仿宋_GB2312" w:cs="Times New Roman"/>
          <w:lang w:val="en-US" w:eastAsia="zh-CN"/>
        </w:rPr>
      </w:pPr>
      <w:r>
        <w:rPr>
          <w:rFonts w:hint="default" w:ascii="Times New Roman" w:hAnsi="Times New Roman" w:cs="Times New Roman"/>
          <w:lang w:val="en-US" w:eastAsia="zh-CN"/>
        </w:rPr>
        <w:t>新乡市水利局：负责项目的整体监督和检查。</w:t>
      </w:r>
    </w:p>
    <w:p>
      <w:pPr>
        <w:pStyle w:val="16"/>
        <w:spacing w:line="560" w:lineRule="exact"/>
        <w:ind w:firstLine="640"/>
        <w:rPr>
          <w:rFonts w:hint="default" w:ascii="Times New Roman" w:hAnsi="Times New Roman" w:eastAsia="仿宋_GB2312" w:cs="Times New Roman"/>
          <w:sz w:val="32"/>
          <w:szCs w:val="22"/>
          <w:lang w:eastAsia="zh-CN"/>
        </w:rPr>
      </w:pPr>
      <w:bookmarkStart w:id="52" w:name="_Toc18147"/>
      <w:r>
        <w:rPr>
          <w:rFonts w:hint="default" w:ascii="Times New Roman" w:hAnsi="Times New Roman" w:eastAsia="仿宋_GB2312" w:cs="Times New Roman"/>
          <w:sz w:val="32"/>
          <w:szCs w:val="22"/>
          <w:lang w:eastAsia="zh-CN"/>
        </w:rPr>
        <w:t>新乡市市</w:t>
      </w:r>
      <w:r>
        <w:rPr>
          <w:rFonts w:hint="default" w:ascii="Times New Roman" w:hAnsi="Times New Roman" w:eastAsia="仿宋_GB2312" w:cs="Times New Roman"/>
          <w:sz w:val="32"/>
          <w:szCs w:val="22"/>
          <w:lang w:val="en-US" w:eastAsia="zh-CN"/>
        </w:rPr>
        <w:t>区</w:t>
      </w:r>
      <w:r>
        <w:rPr>
          <w:rFonts w:hint="default" w:ascii="Times New Roman" w:hAnsi="Times New Roman" w:eastAsia="仿宋_GB2312" w:cs="Times New Roman"/>
          <w:sz w:val="32"/>
          <w:szCs w:val="22"/>
          <w:lang w:eastAsia="zh-CN"/>
        </w:rPr>
        <w:t>河渠中心：负责项目预算的编制和申请，开展招投标工作，确定养护单位，签订项目合同。按季度组织验收，出具验收报告，并依据验收报告支付养护费用。</w:t>
      </w:r>
    </w:p>
    <w:p>
      <w:pPr>
        <w:pStyle w:val="16"/>
        <w:spacing w:line="560" w:lineRule="exact"/>
        <w:ind w:firstLine="640"/>
        <w:rPr>
          <w:rFonts w:hint="default" w:ascii="Times New Roman" w:hAnsi="Times New Roman" w:eastAsia="仿宋_GB2312" w:cs="Times New Roman"/>
          <w:sz w:val="32"/>
          <w:szCs w:val="22"/>
          <w:lang w:eastAsia="zh-CN"/>
        </w:rPr>
      </w:pPr>
      <w:r>
        <w:rPr>
          <w:rFonts w:hint="default" w:ascii="Times New Roman" w:hAnsi="Times New Roman" w:eastAsia="仿宋_GB2312" w:cs="Times New Roman"/>
          <w:sz w:val="32"/>
          <w:szCs w:val="22"/>
          <w:lang w:eastAsia="zh-CN"/>
        </w:rPr>
        <w:t>河南华泰市政园林工程有限公司等六家中标公司：负责项目的具体实施，依据项目单位的要求开展养护工作，确保养护河面、绿地面清洁，设施设备可以正常使用，配合项目单位验收。</w:t>
      </w:r>
    </w:p>
    <w:p>
      <w:pPr>
        <w:pStyle w:val="16"/>
        <w:spacing w:line="560" w:lineRule="exact"/>
        <w:ind w:firstLine="640"/>
        <w:rPr>
          <w:rFonts w:hint="default" w:ascii="Times New Roman" w:hAnsi="Times New Roman" w:eastAsia="仿宋_GB2312" w:cs="Times New Roman"/>
          <w:sz w:val="32"/>
          <w:szCs w:val="22"/>
          <w:lang w:eastAsia="zh-CN"/>
        </w:rPr>
      </w:pPr>
      <w:r>
        <w:rPr>
          <w:rFonts w:hint="default" w:ascii="Times New Roman" w:hAnsi="Times New Roman" w:eastAsia="仿宋_GB2312" w:cs="Times New Roman"/>
          <w:sz w:val="32"/>
          <w:szCs w:val="22"/>
          <w:lang w:eastAsia="zh-CN"/>
        </w:rPr>
        <w:t>新乡市财政局：负责对目标审核，预算批复以及提供项目经费保障。</w:t>
      </w:r>
    </w:p>
    <w:p>
      <w:pPr>
        <w:ind w:firstLine="640"/>
        <w:rPr>
          <w:rFonts w:hint="default" w:ascii="Times New Roman" w:hAnsi="Times New Roman" w:cs="Times New Roman"/>
        </w:rPr>
      </w:pPr>
      <w:r>
        <w:rPr>
          <w:rFonts w:hint="default" w:ascii="Times New Roman" w:hAnsi="Times New Roman" w:cs="Times New Roman"/>
        </w:rPr>
        <w:t>（2）项目管理情况</w:t>
      </w:r>
      <w:bookmarkEnd w:id="52"/>
    </w:p>
    <w:p>
      <w:pPr>
        <w:widowControl w:val="0"/>
        <w:ind w:firstLine="640"/>
        <w:rPr>
          <w:rFonts w:hint="default" w:ascii="Times New Roman" w:hAnsi="Times New Roman" w:cs="Times New Roman"/>
          <w:kern w:val="2"/>
          <w:szCs w:val="32"/>
          <w:highlight w:val="yellow"/>
        </w:rPr>
      </w:pPr>
      <w:r>
        <w:rPr>
          <w:rFonts w:hint="default" w:ascii="Times New Roman" w:hAnsi="Times New Roman" w:cs="Times New Roman"/>
          <w:kern w:val="2"/>
          <w:szCs w:val="32"/>
        </w:rPr>
        <w:t>①项目实施管理流程</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本项目采取公开招标的方式确定中标单位，中标单位负责具体养护，市河渠中心每季度对养护内容进行验收，出具验收报告。流程图如下图所示：</w:t>
      </w:r>
    </w:p>
    <w:p>
      <w:pPr>
        <w:pStyle w:val="4"/>
        <w:spacing w:line="240" w:lineRule="auto"/>
        <w:ind w:firstLine="0" w:firstLineChars="0"/>
        <w:jc w:val="center"/>
        <w:rPr>
          <w:rFonts w:hint="default" w:ascii="Times New Roman" w:hAnsi="Times New Roman" w:cs="Times New Roman"/>
        </w:rPr>
      </w:pPr>
      <w:r>
        <w:rPr>
          <w:rFonts w:hint="default" w:ascii="Times New Roman" w:hAnsi="Times New Roman" w:cs="Times New Roman"/>
          <w:lang w:eastAsia="zh-CN"/>
        </w:rPr>
        <w:drawing>
          <wp:inline distT="0" distB="0" distL="114300" distR="114300">
            <wp:extent cx="5153660" cy="5397500"/>
            <wp:effectExtent l="0" t="0" r="0" b="0"/>
            <wp:docPr id="7" name="ECB019B1-382A-4266-B25C-5B523AA43C14-1" descr="C:/Users/86175/AppData/Local/Temp/wps.JyjyJZw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CB019B1-382A-4266-B25C-5B523AA43C14-1" descr="C:/Users/86175/AppData/Local/Temp/wps.JyjyJZwps"/>
                    <pic:cNvPicPr>
                      <a:picLocks noChangeAspect="1"/>
                    </pic:cNvPicPr>
                  </pic:nvPicPr>
                  <pic:blipFill>
                    <a:blip r:embed="rId25"/>
                    <a:stretch>
                      <a:fillRect/>
                    </a:stretch>
                  </pic:blipFill>
                  <pic:spPr>
                    <a:xfrm>
                      <a:off x="0" y="0"/>
                      <a:ext cx="5153660" cy="5397500"/>
                    </a:xfrm>
                    <a:prstGeom prst="rect">
                      <a:avLst/>
                    </a:prstGeom>
                  </pic:spPr>
                </pic:pic>
              </a:graphicData>
            </a:graphic>
          </wp:inline>
        </w:drawing>
      </w:r>
    </w:p>
    <w:p>
      <w:pPr>
        <w:pStyle w:val="144"/>
        <w:ind w:firstLine="0" w:firstLineChars="0"/>
        <w:jc w:val="center"/>
        <w:rPr>
          <w:rFonts w:hint="default" w:ascii="Times New Roman" w:hAnsi="Times New Roman" w:cs="Times New Roman"/>
        </w:rPr>
      </w:pPr>
      <w:r>
        <w:rPr>
          <w:rFonts w:hint="default" w:ascii="Times New Roman" w:hAnsi="Times New Roman" w:cs="Times New Roman"/>
          <w:b/>
          <w:bCs/>
          <w:sz w:val="28"/>
          <w:szCs w:val="24"/>
        </w:rPr>
        <w:t>图1-2：项目管理流程图</w:t>
      </w:r>
    </w:p>
    <w:p>
      <w:pPr>
        <w:pStyle w:val="144"/>
        <w:ind w:firstLine="640"/>
        <w:rPr>
          <w:rFonts w:hint="default" w:ascii="Times New Roman" w:hAnsi="Times New Roman" w:cs="Times New Roman"/>
        </w:rPr>
      </w:pPr>
      <w:r>
        <w:rPr>
          <w:rFonts w:hint="default" w:ascii="Times New Roman" w:hAnsi="Times New Roman" w:cs="Times New Roman"/>
        </w:rPr>
        <w:t>②制度保障</w:t>
      </w:r>
    </w:p>
    <w:p>
      <w:pPr>
        <w:widowControl w:val="0"/>
        <w:spacing w:line="596" w:lineRule="exact"/>
        <w:ind w:firstLine="643"/>
        <w:rPr>
          <w:rFonts w:hint="default" w:ascii="Times New Roman" w:hAnsi="Times New Roman" w:eastAsia="楷体_GB2312" w:cs="Times New Roman"/>
          <w:color w:val="FF0000"/>
        </w:rPr>
      </w:pPr>
      <w:r>
        <w:rPr>
          <w:rFonts w:hint="default" w:ascii="Times New Roman" w:hAnsi="Times New Roman" w:cs="Times New Roman"/>
          <w:b/>
          <w:bCs/>
          <w:kern w:val="2"/>
          <w:szCs w:val="32"/>
        </w:rPr>
        <w:t>业务管理制度</w:t>
      </w:r>
    </w:p>
    <w:p>
      <w:pPr>
        <w:widowControl w:val="0"/>
        <w:tabs>
          <w:tab w:val="left" w:pos="1200"/>
        </w:tabs>
        <w:snapToGrid w:val="0"/>
        <w:ind w:firstLine="640"/>
        <w:rPr>
          <w:rFonts w:hint="default" w:ascii="Times New Roman" w:hAnsi="Times New Roman" w:cs="Times New Roman"/>
          <w:szCs w:val="28"/>
        </w:rPr>
      </w:pPr>
      <w:r>
        <w:rPr>
          <w:rFonts w:hint="default" w:ascii="Times New Roman" w:hAnsi="Times New Roman" w:cs="Times New Roman"/>
        </w:rPr>
        <w:t>《新乡市市区河渠综合事务中心社会化养护管理标准》；</w:t>
      </w:r>
    </w:p>
    <w:p>
      <w:pPr>
        <w:ind w:firstLine="640"/>
        <w:rPr>
          <w:rFonts w:hint="default" w:ascii="Times New Roman" w:hAnsi="Times New Roman" w:cs="Times New Roman"/>
        </w:rPr>
      </w:pPr>
      <w:r>
        <w:rPr>
          <w:rFonts w:hint="default" w:ascii="Times New Roman" w:hAnsi="Times New Roman" w:cs="Times New Roman"/>
        </w:rPr>
        <w:t>《社会化管理养护督查考评暂行办法》。</w:t>
      </w:r>
    </w:p>
    <w:p>
      <w:pPr>
        <w:widowControl w:val="0"/>
        <w:spacing w:line="596" w:lineRule="exact"/>
        <w:ind w:firstLine="643"/>
        <w:rPr>
          <w:rFonts w:hint="default" w:ascii="Times New Roman" w:hAnsi="Times New Roman" w:cs="Times New Roman"/>
          <w:b/>
          <w:bCs/>
          <w:szCs w:val="32"/>
        </w:rPr>
      </w:pPr>
      <w:r>
        <w:rPr>
          <w:rFonts w:hint="default" w:ascii="Times New Roman" w:hAnsi="Times New Roman" w:cs="Times New Roman"/>
          <w:b/>
          <w:bCs/>
          <w:szCs w:val="32"/>
        </w:rPr>
        <w:t>财务管理制度</w:t>
      </w:r>
    </w:p>
    <w:p>
      <w:pPr>
        <w:pStyle w:val="16"/>
        <w:ind w:firstLine="640"/>
        <w:rPr>
          <w:rFonts w:hint="default" w:ascii="Times New Roman" w:hAnsi="Times New Roman" w:cs="Times New Roman"/>
          <w:lang w:val="zh-TW" w:eastAsia="zh-CN"/>
        </w:rPr>
      </w:pPr>
      <w:r>
        <w:rPr>
          <w:rFonts w:hint="default" w:ascii="Times New Roman" w:hAnsi="Times New Roman" w:eastAsia="仿宋_GB2312" w:cs="Times New Roman"/>
          <w:sz w:val="32"/>
          <w:szCs w:val="28"/>
          <w:lang w:eastAsia="zh-CN"/>
        </w:rPr>
        <w:t>项目单位未针对该项目制定相关财务管理制度，项目实施过程中财务管理相关的依据部门财务管理制度及合同约定。</w:t>
      </w:r>
    </w:p>
    <w:p>
      <w:pPr>
        <w:pStyle w:val="5"/>
        <w:ind w:firstLine="643"/>
        <w:rPr>
          <w:rFonts w:hint="default" w:ascii="Times New Roman" w:hAnsi="Times New Roman" w:cs="Times New Roman"/>
        </w:rPr>
      </w:pPr>
      <w:r>
        <w:rPr>
          <w:rFonts w:hint="default" w:ascii="Times New Roman" w:hAnsi="Times New Roman" w:cs="Times New Roman"/>
        </w:rPr>
        <w:t>6.</w:t>
      </w:r>
      <w:r>
        <w:rPr>
          <w:rFonts w:hint="default" w:ascii="Times New Roman" w:hAnsi="Times New Roman" w:cs="Times New Roman"/>
          <w:lang w:val="zh-TW" w:eastAsia="zh-TW"/>
        </w:rPr>
        <w:t>利益相关方</w:t>
      </w:r>
    </w:p>
    <w:bookmarkEnd w:id="49"/>
    <w:bookmarkEnd w:id="50"/>
    <w:p>
      <w:pPr>
        <w:pStyle w:val="144"/>
        <w:ind w:firstLine="0" w:firstLineChars="0"/>
        <w:jc w:val="center"/>
        <w:rPr>
          <w:rFonts w:hint="default" w:ascii="Times New Roman" w:hAnsi="Times New Roman" w:cs="Times New Roman"/>
          <w:b/>
          <w:bCs/>
          <w:sz w:val="28"/>
          <w:szCs w:val="24"/>
        </w:rPr>
      </w:pPr>
      <w:bookmarkStart w:id="53" w:name="_Toc18168"/>
      <w:bookmarkStart w:id="54" w:name="_Toc20619"/>
      <w:bookmarkStart w:id="55" w:name="_Toc27841"/>
      <w:bookmarkStart w:id="56" w:name="_Toc17969"/>
      <w:bookmarkStart w:id="57" w:name="_Toc91522487"/>
      <w:bookmarkStart w:id="58" w:name="_Toc2132"/>
      <w:bookmarkStart w:id="59" w:name="_Toc9269"/>
      <w:r>
        <w:rPr>
          <w:rFonts w:hint="default" w:ascii="Times New Roman" w:hAnsi="Times New Roman" w:cs="Times New Roman"/>
          <w:b/>
          <w:bCs/>
          <w:sz w:val="28"/>
          <w:szCs w:val="24"/>
        </w:rPr>
        <w:t>表1-2：利益相关方及其职能</w:t>
      </w:r>
      <w:bookmarkEnd w:id="53"/>
      <w:bookmarkEnd w:id="54"/>
      <w:bookmarkEnd w:id="55"/>
      <w:bookmarkEnd w:id="56"/>
    </w:p>
    <w:tbl>
      <w:tblPr>
        <w:tblStyle w:val="37"/>
        <w:tblW w:w="9258" w:type="dxa"/>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1720"/>
        <w:gridCol w:w="1760"/>
        <w:gridCol w:w="50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shd w:val="clear" w:color="auto" w:fill="A4A4A4"/>
          </w:tcPr>
          <w:p>
            <w:pPr>
              <w:spacing w:line="240" w:lineRule="auto"/>
              <w:ind w:firstLine="0" w:firstLineChars="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序号</w:t>
            </w:r>
          </w:p>
        </w:tc>
        <w:tc>
          <w:tcPr>
            <w:tcW w:w="1720" w:type="dxa"/>
            <w:shd w:val="clear" w:color="auto" w:fill="A4A4A4"/>
          </w:tcPr>
          <w:p>
            <w:pPr>
              <w:spacing w:line="240" w:lineRule="auto"/>
              <w:ind w:firstLine="0" w:firstLineChars="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利益相关方</w:t>
            </w:r>
          </w:p>
        </w:tc>
        <w:tc>
          <w:tcPr>
            <w:tcW w:w="1760" w:type="dxa"/>
            <w:shd w:val="clear" w:color="auto" w:fill="A4A4A4"/>
          </w:tcPr>
          <w:p>
            <w:pPr>
              <w:spacing w:line="240" w:lineRule="auto"/>
              <w:ind w:firstLine="0" w:firstLineChars="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职能部门</w:t>
            </w:r>
          </w:p>
        </w:tc>
        <w:tc>
          <w:tcPr>
            <w:tcW w:w="5004" w:type="dxa"/>
            <w:shd w:val="clear" w:color="auto" w:fill="A4A4A4"/>
          </w:tcPr>
          <w:p>
            <w:pPr>
              <w:spacing w:line="240" w:lineRule="auto"/>
              <w:ind w:firstLine="0" w:firstLineChars="0"/>
              <w:contextualSpacing/>
              <w:jc w:val="center"/>
              <w:rPr>
                <w:rFonts w:hint="default" w:ascii="Times New Roman" w:hAnsi="Times New Roman" w:cs="Times New Roman"/>
                <w:b/>
                <w:bCs/>
                <w:sz w:val="24"/>
                <w:szCs w:val="24"/>
              </w:rPr>
            </w:pPr>
            <w:r>
              <w:rPr>
                <w:rFonts w:hint="default" w:ascii="Times New Roman" w:hAnsi="Times New Roman" w:cs="Times New Roman"/>
                <w:b/>
                <w:bCs/>
                <w:sz w:val="24"/>
                <w:szCs w:val="24"/>
              </w:rPr>
              <w:t>主要工作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74"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val="en-US" w:eastAsia="zh-CN"/>
              </w:rPr>
            </w:pPr>
            <w:r>
              <w:rPr>
                <w:rFonts w:hint="default" w:ascii="Times New Roman" w:hAnsi="Times New Roman" w:cs="Times New Roman"/>
                <w:sz w:val="24"/>
                <w:szCs w:val="24"/>
                <w:lang w:val="en-US" w:eastAsia="zh-CN"/>
              </w:rPr>
              <w:t>1</w:t>
            </w:r>
          </w:p>
        </w:tc>
        <w:tc>
          <w:tcPr>
            <w:tcW w:w="1720" w:type="dxa"/>
            <w:vAlign w:val="center"/>
          </w:tcPr>
          <w:p>
            <w:pPr>
              <w:spacing w:line="240" w:lineRule="auto"/>
              <w:ind w:firstLine="0" w:firstLineChars="0"/>
              <w:contextualSpacing/>
              <w:rPr>
                <w:rFonts w:hint="default" w:ascii="Times New Roman" w:hAnsi="Times New Roman" w:eastAsia="仿宋_GB2312" w:cs="Times New Roman"/>
                <w:sz w:val="24"/>
                <w:szCs w:val="24"/>
                <w:lang w:val="en-US" w:eastAsia="zh-CN"/>
              </w:rPr>
            </w:pPr>
            <w:r>
              <w:rPr>
                <w:rFonts w:hint="default" w:ascii="Times New Roman" w:hAnsi="Times New Roman" w:cs="Times New Roman"/>
                <w:sz w:val="24"/>
                <w:szCs w:val="24"/>
                <w:lang w:val="en-US" w:eastAsia="zh-CN"/>
              </w:rPr>
              <w:t>项目主管部门</w:t>
            </w:r>
          </w:p>
        </w:tc>
        <w:tc>
          <w:tcPr>
            <w:tcW w:w="1760"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val="en-US" w:eastAsia="zh-CN"/>
              </w:rPr>
            </w:pPr>
            <w:r>
              <w:rPr>
                <w:rFonts w:hint="default" w:ascii="Times New Roman" w:hAnsi="Times New Roman" w:cs="Times New Roman"/>
                <w:sz w:val="24"/>
                <w:szCs w:val="24"/>
                <w:lang w:val="en-US" w:eastAsia="zh-CN"/>
              </w:rPr>
              <w:t>新乡市水利局</w:t>
            </w:r>
          </w:p>
        </w:tc>
        <w:tc>
          <w:tcPr>
            <w:tcW w:w="5004" w:type="dxa"/>
          </w:tcPr>
          <w:p>
            <w:pPr>
              <w:spacing w:line="240" w:lineRule="auto"/>
              <w:ind w:firstLine="0" w:firstLineChars="0"/>
              <w:contextualSpacing/>
              <w:rPr>
                <w:rFonts w:hint="default" w:ascii="Times New Roman" w:hAnsi="Times New Roman" w:eastAsia="仿宋_GB2312" w:cs="Times New Roman"/>
                <w:sz w:val="24"/>
                <w:szCs w:val="24"/>
                <w:lang w:val="en-US" w:eastAsia="zh-CN"/>
              </w:rPr>
            </w:pPr>
            <w:r>
              <w:rPr>
                <w:rFonts w:hint="default" w:ascii="Times New Roman" w:hAnsi="Times New Roman" w:cs="Times New Roman"/>
                <w:sz w:val="24"/>
                <w:szCs w:val="24"/>
                <w:lang w:val="en-US" w:eastAsia="zh-CN"/>
              </w:rPr>
              <w:t>负责项目的整体监督和检查。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74"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eastAsia="zh-CN"/>
              </w:rPr>
            </w:pPr>
            <w:r>
              <w:rPr>
                <w:rFonts w:hint="default" w:ascii="Times New Roman" w:hAnsi="Times New Roman" w:cs="Times New Roman"/>
                <w:sz w:val="24"/>
                <w:szCs w:val="24"/>
                <w:lang w:val="en-US" w:eastAsia="zh-CN"/>
              </w:rPr>
              <w:t>2</w:t>
            </w:r>
          </w:p>
        </w:tc>
        <w:tc>
          <w:tcPr>
            <w:tcW w:w="1720" w:type="dxa"/>
            <w:vAlign w:val="center"/>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sz w:val="24"/>
                <w:szCs w:val="24"/>
              </w:rPr>
              <w:t>项目预算单位</w:t>
            </w:r>
          </w:p>
        </w:tc>
        <w:tc>
          <w:tcPr>
            <w:tcW w:w="1760" w:type="dxa"/>
            <w:vAlign w:val="center"/>
          </w:tcPr>
          <w:p>
            <w:pPr>
              <w:spacing w:line="240" w:lineRule="auto"/>
              <w:ind w:firstLine="0" w:firstLineChars="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新乡市市</w:t>
            </w:r>
            <w:r>
              <w:rPr>
                <w:rFonts w:hint="default" w:ascii="Times New Roman" w:hAnsi="Times New Roman" w:cs="Times New Roman"/>
                <w:sz w:val="24"/>
                <w:szCs w:val="24"/>
                <w:lang w:val="en-US" w:eastAsia="zh-CN"/>
              </w:rPr>
              <w:t>区</w:t>
            </w:r>
            <w:r>
              <w:rPr>
                <w:rFonts w:hint="default" w:ascii="Times New Roman" w:hAnsi="Times New Roman" w:cs="Times New Roman"/>
                <w:sz w:val="24"/>
                <w:szCs w:val="24"/>
              </w:rPr>
              <w:t>河渠中心</w:t>
            </w:r>
          </w:p>
        </w:tc>
        <w:tc>
          <w:tcPr>
            <w:tcW w:w="5004" w:type="dxa"/>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sz w:val="24"/>
                <w:szCs w:val="24"/>
              </w:rPr>
              <w:t>负责项目预算的编制，签订项目合同，对项目进行初验，向财政申请项目资金的拨付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774"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eastAsia="zh-CN"/>
              </w:rPr>
            </w:pPr>
            <w:r>
              <w:rPr>
                <w:rFonts w:hint="default" w:ascii="Times New Roman" w:hAnsi="Times New Roman" w:cs="Times New Roman"/>
                <w:sz w:val="24"/>
                <w:szCs w:val="24"/>
                <w:lang w:val="en-US" w:eastAsia="zh-CN"/>
              </w:rPr>
              <w:t>3</w:t>
            </w:r>
          </w:p>
        </w:tc>
        <w:tc>
          <w:tcPr>
            <w:tcW w:w="1720" w:type="dxa"/>
            <w:vAlign w:val="center"/>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sz w:val="24"/>
                <w:szCs w:val="24"/>
              </w:rPr>
              <w:t>项目施工单位</w:t>
            </w:r>
          </w:p>
        </w:tc>
        <w:tc>
          <w:tcPr>
            <w:tcW w:w="1760" w:type="dxa"/>
            <w:vAlign w:val="center"/>
          </w:tcPr>
          <w:p>
            <w:pPr>
              <w:tabs>
                <w:tab w:val="left" w:pos="641"/>
              </w:tabs>
              <w:spacing w:line="240" w:lineRule="auto"/>
              <w:ind w:firstLine="0" w:firstLineChars="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项目中标的6家公司</w:t>
            </w:r>
          </w:p>
        </w:tc>
        <w:tc>
          <w:tcPr>
            <w:tcW w:w="5004" w:type="dxa"/>
            <w:vAlign w:val="center"/>
          </w:tcPr>
          <w:p>
            <w:pPr>
              <w:tabs>
                <w:tab w:val="left" w:pos="641"/>
              </w:tabs>
              <w:spacing w:line="240" w:lineRule="auto"/>
              <w:ind w:firstLine="0" w:firstLineChars="0"/>
              <w:contextualSpacing/>
              <w:rPr>
                <w:rFonts w:hint="default" w:ascii="Times New Roman" w:hAnsi="Times New Roman" w:eastAsia="仿宋_GB2312" w:cs="Times New Roman"/>
                <w:sz w:val="24"/>
                <w:szCs w:val="24"/>
                <w:lang w:eastAsia="zh-CN"/>
              </w:rPr>
            </w:pPr>
            <w:r>
              <w:rPr>
                <w:rFonts w:hint="default" w:ascii="Times New Roman" w:hAnsi="Times New Roman" w:cs="Times New Roman"/>
                <w:sz w:val="24"/>
                <w:szCs w:val="24"/>
              </w:rPr>
              <w:t>负责合同内容的施工、竣工资料的编制、完工移交</w:t>
            </w:r>
            <w:r>
              <w:rPr>
                <w:rFonts w:hint="default" w:ascii="Times New Roman" w:hAnsi="Times New Roman" w:cs="Times New Roman"/>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eastAsia="zh-CN"/>
              </w:rPr>
            </w:pPr>
            <w:r>
              <w:rPr>
                <w:rFonts w:hint="default" w:ascii="Times New Roman" w:hAnsi="Times New Roman" w:cs="Times New Roman"/>
                <w:sz w:val="24"/>
                <w:szCs w:val="24"/>
                <w:lang w:val="en-US" w:eastAsia="zh-CN"/>
              </w:rPr>
              <w:t>4</w:t>
            </w:r>
          </w:p>
        </w:tc>
        <w:tc>
          <w:tcPr>
            <w:tcW w:w="1720" w:type="dxa"/>
            <w:vAlign w:val="center"/>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sz w:val="24"/>
                <w:szCs w:val="24"/>
              </w:rPr>
              <w:t>资金保障单位</w:t>
            </w:r>
          </w:p>
        </w:tc>
        <w:tc>
          <w:tcPr>
            <w:tcW w:w="1760" w:type="dxa"/>
            <w:vAlign w:val="center"/>
          </w:tcPr>
          <w:p>
            <w:pPr>
              <w:spacing w:line="240" w:lineRule="auto"/>
              <w:ind w:firstLine="0" w:firstLineChars="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新乡市财政局</w:t>
            </w:r>
          </w:p>
        </w:tc>
        <w:tc>
          <w:tcPr>
            <w:tcW w:w="5004" w:type="dxa"/>
            <w:vAlign w:val="center"/>
          </w:tcPr>
          <w:p>
            <w:pPr>
              <w:spacing w:line="240" w:lineRule="auto"/>
              <w:ind w:firstLine="0" w:firstLineChars="0"/>
              <w:contextualSpacing/>
              <w:jc w:val="left"/>
              <w:rPr>
                <w:rFonts w:hint="default" w:ascii="Times New Roman" w:hAnsi="Times New Roman" w:eastAsia="仿宋_GB2312" w:cs="Times New Roman"/>
                <w:sz w:val="24"/>
                <w:szCs w:val="24"/>
                <w:lang w:eastAsia="zh-CN"/>
              </w:rPr>
            </w:pPr>
            <w:r>
              <w:rPr>
                <w:rFonts w:hint="default" w:ascii="Times New Roman" w:hAnsi="Times New Roman" w:cs="Times New Roman"/>
                <w:color w:val="000000"/>
                <w:sz w:val="24"/>
                <w:szCs w:val="24"/>
              </w:rPr>
              <w:t>负责项目预算审核，资金拨付及资金的监管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74" w:type="dxa"/>
            <w:vAlign w:val="center"/>
          </w:tcPr>
          <w:p>
            <w:pPr>
              <w:spacing w:line="240" w:lineRule="auto"/>
              <w:ind w:firstLine="0" w:firstLineChars="0"/>
              <w:contextualSpacing/>
              <w:jc w:val="center"/>
              <w:rPr>
                <w:rFonts w:hint="default" w:ascii="Times New Roman" w:hAnsi="Times New Roman" w:eastAsia="仿宋_GB2312" w:cs="Times New Roman"/>
                <w:sz w:val="24"/>
                <w:szCs w:val="24"/>
                <w:lang w:eastAsia="zh-CN"/>
              </w:rPr>
            </w:pPr>
            <w:r>
              <w:rPr>
                <w:rFonts w:hint="default" w:ascii="Times New Roman" w:hAnsi="Times New Roman" w:cs="Times New Roman"/>
                <w:sz w:val="24"/>
                <w:szCs w:val="24"/>
                <w:lang w:val="en-US" w:eastAsia="zh-CN"/>
              </w:rPr>
              <w:t>5</w:t>
            </w:r>
          </w:p>
        </w:tc>
        <w:tc>
          <w:tcPr>
            <w:tcW w:w="1720" w:type="dxa"/>
            <w:vAlign w:val="center"/>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sz w:val="24"/>
                <w:szCs w:val="24"/>
              </w:rPr>
              <w:t>项目受益方</w:t>
            </w:r>
          </w:p>
        </w:tc>
        <w:tc>
          <w:tcPr>
            <w:tcW w:w="1760" w:type="dxa"/>
            <w:vAlign w:val="center"/>
          </w:tcPr>
          <w:p>
            <w:pPr>
              <w:spacing w:line="240" w:lineRule="auto"/>
              <w:ind w:firstLine="0" w:firstLineChars="0"/>
              <w:contextualSpacing/>
              <w:jc w:val="center"/>
              <w:rPr>
                <w:rFonts w:hint="default" w:ascii="Times New Roman" w:hAnsi="Times New Roman" w:cs="Times New Roman"/>
                <w:sz w:val="24"/>
                <w:szCs w:val="24"/>
              </w:rPr>
            </w:pPr>
            <w:r>
              <w:rPr>
                <w:rFonts w:hint="default" w:ascii="Times New Roman" w:hAnsi="Times New Roman" w:cs="Times New Roman"/>
                <w:sz w:val="24"/>
                <w:szCs w:val="24"/>
              </w:rPr>
              <w:t>市民</w:t>
            </w:r>
          </w:p>
        </w:tc>
        <w:tc>
          <w:tcPr>
            <w:tcW w:w="5004" w:type="dxa"/>
            <w:vAlign w:val="center"/>
          </w:tcPr>
          <w:p>
            <w:pPr>
              <w:spacing w:line="240" w:lineRule="auto"/>
              <w:ind w:firstLine="0" w:firstLineChars="0"/>
              <w:contextualSpacing/>
              <w:rPr>
                <w:rFonts w:hint="default" w:ascii="Times New Roman" w:hAnsi="Times New Roman" w:cs="Times New Roman"/>
                <w:sz w:val="24"/>
                <w:szCs w:val="24"/>
              </w:rPr>
            </w:pPr>
            <w:r>
              <w:rPr>
                <w:rFonts w:hint="default" w:ascii="Times New Roman" w:hAnsi="Times New Roman" w:cs="Times New Roman"/>
                <w:color w:val="000000"/>
                <w:sz w:val="24"/>
                <w:szCs w:val="24"/>
              </w:rPr>
              <w:t>河岸周边市民为本项目受益对象</w:t>
            </w:r>
          </w:p>
        </w:tc>
      </w:tr>
    </w:tbl>
    <w:p>
      <w:pPr>
        <w:pStyle w:val="4"/>
        <w:ind w:firstLine="643"/>
        <w:rPr>
          <w:rFonts w:hint="default" w:ascii="Times New Roman" w:hAnsi="Times New Roman" w:cs="Times New Roman"/>
          <w:lang w:val="zh-TW" w:eastAsia="zh-TW"/>
        </w:rPr>
      </w:pPr>
      <w:r>
        <w:rPr>
          <w:rFonts w:hint="default" w:ascii="Times New Roman" w:hAnsi="Times New Roman" w:cs="Times New Roman"/>
          <w:lang w:val="zh-TW"/>
        </w:rPr>
        <w:t>（</w:t>
      </w:r>
      <w:r>
        <w:rPr>
          <w:rFonts w:hint="default" w:ascii="Times New Roman" w:hAnsi="Times New Roman" w:cs="Times New Roman"/>
        </w:rPr>
        <w:t>二</w:t>
      </w:r>
      <w:r>
        <w:rPr>
          <w:rFonts w:hint="default" w:ascii="Times New Roman" w:hAnsi="Times New Roman" w:cs="Times New Roman"/>
          <w:lang w:val="zh-TW"/>
        </w:rPr>
        <w:t>）</w:t>
      </w:r>
      <w:r>
        <w:rPr>
          <w:rFonts w:hint="default" w:ascii="Times New Roman" w:hAnsi="Times New Roman" w:cs="Times New Roman"/>
          <w:lang w:val="zh-TW" w:eastAsia="zh-TW"/>
        </w:rPr>
        <w:t>项目绩效目标</w:t>
      </w:r>
      <w:bookmarkEnd w:id="57"/>
      <w:bookmarkEnd w:id="58"/>
    </w:p>
    <w:p>
      <w:pPr>
        <w:pStyle w:val="5"/>
        <w:ind w:firstLine="643"/>
        <w:rPr>
          <w:rFonts w:hint="default" w:ascii="Times New Roman" w:hAnsi="Times New Roman" w:cs="Times New Roman"/>
        </w:rPr>
      </w:pPr>
      <w:bookmarkStart w:id="60" w:name="_Toc2005"/>
      <w:bookmarkStart w:id="61" w:name="_Toc31654"/>
      <w:bookmarkStart w:id="62" w:name="_Toc89157883"/>
      <w:bookmarkStart w:id="63" w:name="_Toc89157822"/>
      <w:bookmarkStart w:id="64" w:name="_Toc91522488"/>
      <w:bookmarkStart w:id="65" w:name="_Toc5234"/>
      <w:r>
        <w:rPr>
          <w:rFonts w:hint="default" w:ascii="Times New Roman" w:hAnsi="Times New Roman" w:cs="Times New Roman"/>
        </w:rPr>
        <w:t>1.项目总目标</w:t>
      </w:r>
      <w:bookmarkEnd w:id="60"/>
    </w:p>
    <w:p>
      <w:pPr>
        <w:pStyle w:val="144"/>
        <w:ind w:firstLine="640"/>
        <w:rPr>
          <w:rFonts w:hint="default" w:ascii="Times New Roman" w:hAnsi="Times New Roman" w:cs="Times New Roman"/>
        </w:rPr>
      </w:pPr>
      <w:bookmarkStart w:id="66" w:name="_Toc23576"/>
      <w:r>
        <w:rPr>
          <w:rFonts w:hint="default" w:ascii="Times New Roman" w:hAnsi="Times New Roman" w:cs="Times New Roman"/>
        </w:rPr>
        <w:t>养护管理卫河下游（新中大道橡胶坝至东牧村橡胶坝）绿地面积15万㎡，水面面积20万㎡；赵定河绿地面积26.2万㎡</w:t>
      </w:r>
      <w:r>
        <w:rPr>
          <w:rFonts w:hint="default" w:ascii="Times New Roman" w:hAnsi="Times New Roman" w:cs="Times New Roman"/>
          <w:lang w:eastAsia="zh-CN"/>
        </w:rPr>
        <w:t>，</w:t>
      </w:r>
      <w:r>
        <w:rPr>
          <w:rFonts w:hint="default" w:ascii="Times New Roman" w:hAnsi="Times New Roman" w:cs="Times New Roman"/>
        </w:rPr>
        <w:t>水面面积23.43万㎡。确保市区河渠环境优美。</w:t>
      </w:r>
    </w:p>
    <w:p>
      <w:pPr>
        <w:pStyle w:val="5"/>
        <w:ind w:firstLine="643"/>
        <w:rPr>
          <w:rFonts w:hint="default" w:ascii="Times New Roman" w:hAnsi="Times New Roman" w:cs="Times New Roman"/>
        </w:rPr>
      </w:pPr>
      <w:r>
        <w:rPr>
          <w:rFonts w:hint="default" w:ascii="Times New Roman" w:hAnsi="Times New Roman" w:cs="Times New Roman"/>
        </w:rPr>
        <w:t>2.项目具体目标</w:t>
      </w:r>
      <w:bookmarkEnd w:id="66"/>
    </w:p>
    <w:p>
      <w:pPr>
        <w:pStyle w:val="144"/>
        <w:ind w:firstLine="640"/>
        <w:rPr>
          <w:rFonts w:hint="default" w:ascii="Times New Roman" w:hAnsi="Times New Roman" w:cs="Times New Roman"/>
        </w:rPr>
      </w:pPr>
      <w:r>
        <w:rPr>
          <w:rFonts w:hint="default" w:ascii="Times New Roman" w:hAnsi="Times New Roman" w:cs="Times New Roman"/>
        </w:rPr>
        <w:t>对卫河、赵定河中七个河段</w:t>
      </w:r>
      <w:r>
        <w:rPr>
          <w:rFonts w:hint="default" w:ascii="Times New Roman" w:hAnsi="Times New Roman" w:cs="Times New Roman"/>
          <w:szCs w:val="32"/>
        </w:rPr>
        <w:t>绿化养护、卫生保洁、设施设备维护、人员机械设备到位、巡查保护、安全管理等几个方面进行养护管理</w:t>
      </w:r>
      <w:r>
        <w:rPr>
          <w:rFonts w:hint="default" w:ascii="Times New Roman" w:hAnsi="Times New Roman" w:cs="Times New Roman"/>
        </w:rPr>
        <w:t>，提升河岸周围环境，增加河岸居民幸福生活获得感等，具体目标如下：</w:t>
      </w:r>
    </w:p>
    <w:p>
      <w:pPr>
        <w:ind w:firstLine="643"/>
        <w:rPr>
          <w:rFonts w:hint="default" w:ascii="Times New Roman" w:hAnsi="Times New Roman" w:cs="Times New Roman"/>
          <w:b/>
          <w:bCs/>
        </w:rPr>
      </w:pPr>
      <w:r>
        <w:rPr>
          <w:rFonts w:hint="default" w:ascii="Times New Roman" w:hAnsi="Times New Roman" w:cs="Times New Roman"/>
          <w:b/>
          <w:bCs/>
        </w:rPr>
        <w:t>（1）产出目标：</w:t>
      </w:r>
    </w:p>
    <w:p>
      <w:pPr>
        <w:ind w:firstLine="640"/>
        <w:rPr>
          <w:rFonts w:hint="default" w:ascii="Times New Roman" w:hAnsi="Times New Roman" w:cs="Times New Roman"/>
        </w:rPr>
      </w:pPr>
      <w:r>
        <w:rPr>
          <w:rFonts w:hint="default" w:ascii="Times New Roman" w:hAnsi="Times New Roman" w:cs="Times New Roman"/>
        </w:rPr>
        <w:t>①养护管理绿地面积41.2㎡；</w:t>
      </w:r>
    </w:p>
    <w:p>
      <w:pPr>
        <w:ind w:firstLine="640"/>
        <w:rPr>
          <w:rFonts w:hint="default" w:ascii="Times New Roman" w:hAnsi="Times New Roman" w:cs="Times New Roman"/>
        </w:rPr>
      </w:pPr>
      <w:r>
        <w:rPr>
          <w:rFonts w:hint="default" w:ascii="Times New Roman" w:hAnsi="Times New Roman" w:cs="Times New Roman"/>
        </w:rPr>
        <w:t>②养护管理水面积43.4</w:t>
      </w:r>
      <w:r>
        <w:rPr>
          <w:rFonts w:hint="default" w:ascii="Times New Roman" w:hAnsi="Times New Roman" w:cs="Times New Roman"/>
          <w:lang w:val="en-US" w:eastAsia="zh-CN"/>
        </w:rPr>
        <w:t>3</w:t>
      </w:r>
      <w:r>
        <w:rPr>
          <w:rFonts w:hint="default" w:ascii="Times New Roman" w:hAnsi="Times New Roman" w:cs="Times New Roman"/>
        </w:rPr>
        <w:t>万㎡；</w:t>
      </w:r>
    </w:p>
    <w:p>
      <w:pPr>
        <w:ind w:firstLine="640"/>
        <w:rPr>
          <w:rFonts w:hint="default" w:ascii="Times New Roman" w:hAnsi="Times New Roman" w:cs="Times New Roman"/>
        </w:rPr>
      </w:pPr>
      <w:r>
        <w:rPr>
          <w:rFonts w:hint="default" w:ascii="Times New Roman" w:hAnsi="Times New Roman" w:cs="Times New Roman"/>
        </w:rPr>
        <w:t>③养护管理覆盖率100%；</w:t>
      </w:r>
    </w:p>
    <w:p>
      <w:pPr>
        <w:ind w:firstLine="640"/>
        <w:rPr>
          <w:rFonts w:hint="default" w:ascii="Times New Roman" w:hAnsi="Times New Roman" w:cs="Times New Roman"/>
          <w:kern w:val="2"/>
          <w:szCs w:val="32"/>
        </w:rPr>
      </w:pPr>
      <w:r>
        <w:rPr>
          <w:rFonts w:hint="default" w:ascii="Times New Roman" w:hAnsi="Times New Roman" w:cs="Times New Roman"/>
        </w:rPr>
        <w:t>④养护管理考评优秀率≥90%</w:t>
      </w:r>
      <w:r>
        <w:rPr>
          <w:rFonts w:hint="default" w:ascii="Times New Roman" w:hAnsi="Times New Roman" w:cs="Times New Roman"/>
          <w:kern w:val="2"/>
          <w:szCs w:val="32"/>
        </w:rPr>
        <w:t>；</w:t>
      </w:r>
    </w:p>
    <w:p>
      <w:pPr>
        <w:ind w:firstLine="640"/>
        <w:rPr>
          <w:rFonts w:hint="default" w:ascii="Times New Roman" w:hAnsi="Times New Roman" w:cs="Times New Roman"/>
          <w:kern w:val="2"/>
          <w:szCs w:val="32"/>
        </w:rPr>
      </w:pPr>
      <w:r>
        <w:rPr>
          <w:rFonts w:hint="default" w:ascii="Times New Roman" w:hAnsi="Times New Roman" w:cs="Times New Roman"/>
          <w:kern w:val="2"/>
          <w:szCs w:val="32"/>
        </w:rPr>
        <w:t>⑤“数字河管”结案率100%；</w:t>
      </w:r>
    </w:p>
    <w:p>
      <w:pPr>
        <w:ind w:firstLine="640"/>
        <w:rPr>
          <w:rFonts w:hint="default" w:ascii="Times New Roman" w:hAnsi="Times New Roman" w:cs="Times New Roman"/>
        </w:rPr>
      </w:pPr>
      <w:r>
        <w:rPr>
          <w:rFonts w:hint="default" w:ascii="Times New Roman" w:hAnsi="Times New Roman" w:cs="Times New Roman"/>
        </w:rPr>
        <w:t>⑥</w:t>
      </w:r>
      <w:r>
        <w:rPr>
          <w:rFonts w:hint="default" w:ascii="Times New Roman" w:hAnsi="Times New Roman" w:cs="Times New Roman"/>
          <w:kern w:val="2"/>
          <w:szCs w:val="32"/>
        </w:rPr>
        <w:t>“数字城管”结案率</w:t>
      </w:r>
      <w:r>
        <w:rPr>
          <w:rFonts w:hint="default" w:ascii="Times New Roman" w:hAnsi="Times New Roman" w:cs="Times New Roman"/>
        </w:rPr>
        <w:t>100%；</w:t>
      </w:r>
    </w:p>
    <w:p>
      <w:pPr>
        <w:ind w:firstLine="640"/>
        <w:rPr>
          <w:rFonts w:hint="default" w:ascii="Times New Roman" w:hAnsi="Times New Roman" w:cs="Times New Roman"/>
        </w:rPr>
      </w:pPr>
      <w:r>
        <w:rPr>
          <w:rFonts w:hint="default" w:ascii="Times New Roman" w:hAnsi="Times New Roman" w:cs="Times New Roman"/>
        </w:rPr>
        <w:t>⑦验收及时。</w:t>
      </w:r>
    </w:p>
    <w:p>
      <w:pPr>
        <w:ind w:firstLine="643"/>
        <w:rPr>
          <w:rFonts w:hint="default" w:ascii="Times New Roman" w:hAnsi="Times New Roman" w:cs="Times New Roman"/>
          <w:b/>
          <w:bCs/>
        </w:rPr>
      </w:pPr>
      <w:r>
        <w:rPr>
          <w:rFonts w:hint="default" w:ascii="Times New Roman" w:hAnsi="Times New Roman" w:cs="Times New Roman"/>
          <w:b/>
          <w:bCs/>
        </w:rPr>
        <w:t>效益目标：</w:t>
      </w:r>
    </w:p>
    <w:p>
      <w:pPr>
        <w:ind w:firstLine="640"/>
        <w:rPr>
          <w:rFonts w:hint="default" w:ascii="Times New Roman" w:hAnsi="Times New Roman" w:cs="Times New Roman"/>
        </w:rPr>
      </w:pPr>
      <w:r>
        <w:rPr>
          <w:rFonts w:hint="default" w:ascii="Times New Roman" w:hAnsi="Times New Roman" w:cs="Times New Roman"/>
        </w:rPr>
        <w:t>①提升河岸周边第三产业的发展；</w:t>
      </w:r>
    </w:p>
    <w:p>
      <w:pPr>
        <w:ind w:firstLine="640"/>
        <w:rPr>
          <w:rFonts w:hint="default" w:ascii="Times New Roman" w:hAnsi="Times New Roman" w:cs="Times New Roman"/>
        </w:rPr>
      </w:pPr>
      <w:r>
        <w:rPr>
          <w:rFonts w:hint="default" w:ascii="Times New Roman" w:hAnsi="Times New Roman" w:cs="Times New Roman"/>
        </w:rPr>
        <w:t>②提升河岸周边楼市的发展；</w:t>
      </w:r>
    </w:p>
    <w:p>
      <w:pPr>
        <w:ind w:firstLine="640"/>
        <w:rPr>
          <w:rFonts w:hint="default" w:ascii="Times New Roman" w:hAnsi="Times New Roman" w:cs="Times New Roman"/>
        </w:rPr>
      </w:pPr>
      <w:r>
        <w:rPr>
          <w:rFonts w:hint="default" w:ascii="Times New Roman" w:hAnsi="Times New Roman" w:cs="Times New Roman"/>
        </w:rPr>
        <w:t>③为全市人民提供休闲锻炼空间；</w:t>
      </w:r>
    </w:p>
    <w:p>
      <w:pPr>
        <w:ind w:firstLine="640"/>
        <w:rPr>
          <w:rFonts w:hint="default" w:ascii="Times New Roman" w:hAnsi="Times New Roman" w:cs="Times New Roman"/>
        </w:rPr>
      </w:pPr>
      <w:r>
        <w:rPr>
          <w:rFonts w:hint="default" w:ascii="Times New Roman" w:hAnsi="Times New Roman" w:cs="Times New Roman"/>
        </w:rPr>
        <w:t>④增加到河岸周边锻炼人数；</w:t>
      </w:r>
    </w:p>
    <w:p>
      <w:pPr>
        <w:ind w:firstLine="640"/>
        <w:rPr>
          <w:rFonts w:hint="default" w:ascii="Times New Roman" w:hAnsi="Times New Roman" w:cs="Times New Roman"/>
        </w:rPr>
      </w:pPr>
      <w:r>
        <w:rPr>
          <w:rFonts w:hint="default" w:ascii="Times New Roman" w:hAnsi="Times New Roman" w:cs="Times New Roman"/>
        </w:rPr>
        <w:t>⑤提升河岸生态环境；</w:t>
      </w:r>
    </w:p>
    <w:p>
      <w:pPr>
        <w:ind w:firstLine="640"/>
        <w:rPr>
          <w:rFonts w:hint="default" w:ascii="Times New Roman" w:hAnsi="Times New Roman" w:cs="Times New Roman"/>
        </w:rPr>
      </w:pPr>
      <w:bookmarkStart w:id="67" w:name="_Toc7441"/>
      <w:r>
        <w:rPr>
          <w:rFonts w:hint="default" w:ascii="Times New Roman" w:hAnsi="Times New Roman" w:cs="Times New Roman"/>
        </w:rPr>
        <w:t>⑥提升河岸人居环境；</w:t>
      </w:r>
      <w:bookmarkEnd w:id="67"/>
    </w:p>
    <w:p>
      <w:pPr>
        <w:ind w:firstLine="640"/>
        <w:rPr>
          <w:rFonts w:hint="default" w:ascii="Times New Roman" w:hAnsi="Times New Roman" w:cs="Times New Roman"/>
        </w:rPr>
      </w:pPr>
      <w:r>
        <w:rPr>
          <w:rFonts w:hint="default" w:ascii="Times New Roman" w:hAnsi="Times New Roman" w:cs="Times New Roman"/>
        </w:rPr>
        <w:t>⑦有利于经济社会的可持续发展；</w:t>
      </w:r>
    </w:p>
    <w:p>
      <w:pPr>
        <w:ind w:firstLine="640"/>
        <w:rPr>
          <w:rFonts w:hint="default" w:ascii="Times New Roman" w:hAnsi="Times New Roman" w:cs="Times New Roman"/>
        </w:rPr>
      </w:pPr>
      <w:r>
        <w:rPr>
          <w:rFonts w:hint="default" w:ascii="Times New Roman" w:hAnsi="Times New Roman" w:cs="Times New Roman"/>
        </w:rPr>
        <w:t>⑧有利于建设美丽新乡；</w:t>
      </w:r>
    </w:p>
    <w:p>
      <w:pPr>
        <w:ind w:firstLine="640"/>
        <w:rPr>
          <w:rFonts w:hint="default" w:ascii="Times New Roman" w:hAnsi="Times New Roman" w:cs="Times New Roman"/>
        </w:rPr>
      </w:pPr>
      <w:r>
        <w:rPr>
          <w:rFonts w:hint="default" w:ascii="Times New Roman" w:hAnsi="Times New Roman" w:cs="Times New Roman"/>
        </w:rPr>
        <w:t>⑨河岸周边居民满意度≥85%；</w:t>
      </w:r>
    </w:p>
    <w:p>
      <w:pPr>
        <w:ind w:firstLine="640"/>
        <w:rPr>
          <w:rFonts w:hint="default" w:ascii="Times New Roman" w:hAnsi="Times New Roman" w:cs="Times New Roman"/>
        </w:rPr>
      </w:pPr>
      <w:r>
        <w:rPr>
          <w:rFonts w:hint="default" w:ascii="Times New Roman" w:hAnsi="Times New Roman" w:cs="Times New Roman"/>
        </w:rPr>
        <w:t>⑩河岸休闲锻炼群众满意度≥85%。</w:t>
      </w:r>
    </w:p>
    <w:p>
      <w:pPr>
        <w:pStyle w:val="3"/>
        <w:ind w:firstLine="640"/>
        <w:rPr>
          <w:rFonts w:hint="default" w:ascii="Times New Roman" w:hAnsi="Times New Roman" w:cs="Times New Roman"/>
        </w:rPr>
      </w:pPr>
      <w:r>
        <w:rPr>
          <w:rFonts w:hint="default" w:ascii="Times New Roman" w:hAnsi="Times New Roman" w:cs="Times New Roman"/>
        </w:rPr>
        <w:t>二、绩效评价工作开展情况</w:t>
      </w:r>
      <w:bookmarkEnd w:id="61"/>
      <w:bookmarkEnd w:id="62"/>
      <w:bookmarkEnd w:id="63"/>
      <w:bookmarkEnd w:id="64"/>
    </w:p>
    <w:bookmarkEnd w:id="65"/>
    <w:p>
      <w:pPr>
        <w:keepNext/>
        <w:keepLines/>
        <w:widowControl w:val="0"/>
        <w:ind w:firstLine="643"/>
        <w:outlineLvl w:val="1"/>
        <w:rPr>
          <w:rFonts w:hint="default" w:ascii="Times New Roman" w:hAnsi="Times New Roman" w:eastAsia="楷体_GB2312" w:cs="Times New Roman"/>
          <w:b/>
          <w:szCs w:val="32"/>
          <w:lang w:val="zh-TW" w:eastAsia="zh-TW"/>
        </w:rPr>
      </w:pPr>
      <w:bookmarkStart w:id="68" w:name="_Toc30277"/>
      <w:bookmarkStart w:id="69" w:name="_Toc91522489"/>
      <w:r>
        <w:rPr>
          <w:rFonts w:hint="default" w:ascii="Times New Roman" w:hAnsi="Times New Roman" w:eastAsia="楷体_GB2312" w:cs="Times New Roman"/>
          <w:b/>
          <w:szCs w:val="32"/>
          <w:lang w:val="zh-TW" w:eastAsia="zh-TW"/>
        </w:rPr>
        <w:t>（</w:t>
      </w:r>
      <w:r>
        <w:rPr>
          <w:rFonts w:hint="default" w:ascii="Times New Roman" w:hAnsi="Times New Roman" w:eastAsia="楷体_GB2312" w:cs="Times New Roman"/>
          <w:b/>
          <w:szCs w:val="32"/>
        </w:rPr>
        <w:t>一</w:t>
      </w:r>
      <w:r>
        <w:rPr>
          <w:rFonts w:hint="default" w:ascii="Times New Roman" w:hAnsi="Times New Roman" w:eastAsia="楷体_GB2312" w:cs="Times New Roman"/>
          <w:b/>
          <w:szCs w:val="32"/>
          <w:lang w:val="zh-TW" w:eastAsia="zh-TW"/>
        </w:rPr>
        <w:t>）</w:t>
      </w:r>
      <w:bookmarkEnd w:id="68"/>
      <w:r>
        <w:rPr>
          <w:rFonts w:hint="default" w:ascii="Times New Roman" w:hAnsi="Times New Roman" w:eastAsia="楷体_GB2312" w:cs="Times New Roman"/>
          <w:b/>
          <w:bCs/>
        </w:rPr>
        <w:t>绩效评价目的、对象和范围</w:t>
      </w:r>
      <w:bookmarkEnd w:id="69"/>
    </w:p>
    <w:p>
      <w:pPr>
        <w:pStyle w:val="144"/>
        <w:ind w:firstLine="643"/>
        <w:outlineLvl w:val="2"/>
        <w:rPr>
          <w:rFonts w:hint="default" w:ascii="Times New Roman" w:hAnsi="Times New Roman" w:cs="Times New Roman"/>
          <w:b/>
          <w:bCs/>
        </w:rPr>
      </w:pPr>
      <w:bookmarkStart w:id="70" w:name="_Toc25870"/>
      <w:bookmarkStart w:id="71" w:name="_Toc17966"/>
      <w:bookmarkStart w:id="72" w:name="_Toc23325"/>
      <w:bookmarkStart w:id="73" w:name="_Toc8656"/>
      <w:bookmarkStart w:id="74" w:name="_Toc8574"/>
      <w:bookmarkStart w:id="75" w:name="_Toc8237"/>
      <w:r>
        <w:rPr>
          <w:rFonts w:hint="default" w:ascii="Times New Roman" w:hAnsi="Times New Roman" w:cs="Times New Roman"/>
          <w:b/>
          <w:bCs/>
          <w:szCs w:val="32"/>
        </w:rPr>
        <w:t>1.</w:t>
      </w:r>
      <w:bookmarkEnd w:id="70"/>
      <w:bookmarkEnd w:id="71"/>
      <w:bookmarkEnd w:id="72"/>
      <w:bookmarkEnd w:id="73"/>
      <w:bookmarkEnd w:id="74"/>
      <w:bookmarkEnd w:id="75"/>
      <w:r>
        <w:rPr>
          <w:rFonts w:hint="default" w:ascii="Times New Roman" w:hAnsi="Times New Roman" w:cs="Times New Roman"/>
          <w:b/>
          <w:bCs/>
        </w:rPr>
        <w:t>评价目的</w:t>
      </w:r>
    </w:p>
    <w:p>
      <w:pPr>
        <w:ind w:firstLine="640"/>
        <w:rPr>
          <w:rFonts w:hint="default" w:ascii="Times New Roman" w:hAnsi="Times New Roman" w:cs="Times New Roman"/>
        </w:rPr>
      </w:pPr>
      <w:bookmarkStart w:id="76" w:name="_Toc4834"/>
      <w:bookmarkStart w:id="77" w:name="_Toc4192"/>
      <w:bookmarkStart w:id="78" w:name="_Toc10830"/>
      <w:bookmarkStart w:id="79" w:name="_Toc7560"/>
      <w:bookmarkStart w:id="80" w:name="_Toc14030"/>
      <w:bookmarkStart w:id="81" w:name="_Toc10755"/>
      <w:bookmarkStart w:id="82" w:name="_Toc10998"/>
      <w:r>
        <w:rPr>
          <w:rFonts w:hint="default" w:ascii="Times New Roman" w:hAnsi="Times New Roman" w:cs="Times New Roman"/>
        </w:rPr>
        <w:t>评价目的是通过评价所要实现的目标，体现评价的最终价值，是整个评价工作的基本导向，解决为什么评价的问题。</w:t>
      </w:r>
    </w:p>
    <w:p>
      <w:pPr>
        <w:pStyle w:val="144"/>
        <w:ind w:firstLine="640"/>
        <w:rPr>
          <w:rFonts w:hint="default" w:ascii="Times New Roman" w:hAnsi="Times New Roman" w:cs="Times New Roman"/>
        </w:rPr>
      </w:pPr>
      <w:r>
        <w:rPr>
          <w:rFonts w:hint="default" w:ascii="Times New Roman" w:hAnsi="Times New Roman" w:cs="Times New Roman"/>
        </w:rPr>
        <w:t>市区河渠社会化养护</w:t>
      </w:r>
      <w:r>
        <w:rPr>
          <w:rFonts w:hint="default" w:ascii="Times New Roman" w:hAnsi="Times New Roman" w:cs="Times New Roman"/>
          <w:lang w:val="zh-TW"/>
        </w:rPr>
        <w:t>项目</w:t>
      </w:r>
      <w:r>
        <w:rPr>
          <w:rFonts w:hint="default" w:ascii="Times New Roman" w:hAnsi="Times New Roman" w:cs="Times New Roman"/>
        </w:rPr>
        <w:t>为持续性项目；项目的养护单位为项目中标的六家公司。因此，本次绩效评价的主要目的在于：</w:t>
      </w:r>
    </w:p>
    <w:p>
      <w:pPr>
        <w:pStyle w:val="144"/>
        <w:ind w:firstLine="640"/>
        <w:rPr>
          <w:rFonts w:hint="default" w:ascii="Times New Roman" w:hAnsi="Times New Roman" w:cs="Times New Roman"/>
        </w:rPr>
      </w:pPr>
      <w:r>
        <w:rPr>
          <w:rFonts w:hint="default" w:ascii="Times New Roman" w:hAnsi="Times New Roman" w:cs="Times New Roman"/>
        </w:rPr>
        <w:t>①全面梳理2022年项目计划及执行情况，考察年度目标任务及合同要求目标的落实情况。</w:t>
      </w:r>
    </w:p>
    <w:p>
      <w:pPr>
        <w:pStyle w:val="144"/>
        <w:ind w:firstLine="640"/>
        <w:rPr>
          <w:rFonts w:hint="default" w:ascii="Times New Roman" w:hAnsi="Times New Roman" w:cs="Times New Roman"/>
        </w:rPr>
      </w:pPr>
      <w:r>
        <w:rPr>
          <w:rFonts w:hint="default" w:ascii="Times New Roman" w:hAnsi="Times New Roman" w:cs="Times New Roman"/>
        </w:rPr>
        <w:t>②客观评价市区河渠社会化项目绩效，根据项目执行经验和存在的不足，为项目相关实施单位的遴选、考核验收方式的调整、投后管理的完善等提供依据。</w:t>
      </w:r>
    </w:p>
    <w:p>
      <w:pPr>
        <w:ind w:firstLine="640"/>
        <w:rPr>
          <w:rFonts w:hint="default" w:ascii="Times New Roman" w:hAnsi="Times New Roman" w:cs="Times New Roman"/>
        </w:rPr>
      </w:pPr>
      <w:r>
        <w:rPr>
          <w:rFonts w:hint="default" w:ascii="Times New Roman" w:hAnsi="Times New Roman" w:cs="Times New Roman"/>
        </w:rPr>
        <w:t>③综合分析项目效益和目标实现程度，加强预算绩效管理，提高财政资金配置和使用效益。</w:t>
      </w:r>
    </w:p>
    <w:p>
      <w:pPr>
        <w:widowControl w:val="0"/>
        <w:ind w:firstLine="643"/>
        <w:outlineLvl w:val="2"/>
        <w:rPr>
          <w:rFonts w:hint="default" w:ascii="Times New Roman" w:hAnsi="Times New Roman" w:cs="Times New Roman"/>
          <w:b/>
          <w:bCs/>
          <w:kern w:val="2"/>
          <w:szCs w:val="32"/>
        </w:rPr>
      </w:pPr>
      <w:r>
        <w:rPr>
          <w:rFonts w:hint="default" w:ascii="Times New Roman" w:hAnsi="Times New Roman" w:cs="Times New Roman"/>
          <w:b/>
          <w:bCs/>
          <w:szCs w:val="32"/>
        </w:rPr>
        <w:t>2.</w:t>
      </w:r>
      <w:r>
        <w:rPr>
          <w:rFonts w:hint="default" w:ascii="Times New Roman" w:hAnsi="Times New Roman" w:cs="Times New Roman"/>
          <w:b/>
          <w:bCs/>
          <w:szCs w:val="32"/>
          <w:lang w:val="zh-TW" w:eastAsia="zh-TW"/>
        </w:rPr>
        <w:t>评价对象、范围及时间段</w:t>
      </w:r>
      <w:bookmarkEnd w:id="76"/>
      <w:bookmarkEnd w:id="77"/>
      <w:bookmarkEnd w:id="78"/>
      <w:bookmarkEnd w:id="79"/>
      <w:bookmarkEnd w:id="80"/>
      <w:bookmarkEnd w:id="81"/>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本次绩效评价对象为新乡市市河渠中心2022年市区河渠社会化养护项目的财政支出，资金范围为财政批复的预算</w:t>
      </w:r>
      <w:r>
        <w:rPr>
          <w:rFonts w:hint="default" w:ascii="Times New Roman" w:hAnsi="Times New Roman" w:cs="Times New Roman"/>
          <w:color w:val="000000"/>
          <w:kern w:val="2"/>
          <w:szCs w:val="32"/>
        </w:rPr>
        <w:t>资金279.06万元。</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本次绩效评价范围为</w:t>
      </w:r>
      <w:r>
        <w:rPr>
          <w:rFonts w:hint="default" w:ascii="Times New Roman" w:hAnsi="Times New Roman" w:eastAsia="仿宋" w:cs="Times New Roman"/>
          <w:bCs/>
          <w:color w:val="000000"/>
          <w:szCs w:val="32"/>
        </w:rPr>
        <w:t>使用该项目资金的7个标段，</w:t>
      </w:r>
      <w:r>
        <w:rPr>
          <w:rFonts w:hint="default" w:ascii="Times New Roman" w:hAnsi="Times New Roman" w:eastAsia="仿宋" w:cs="Times New Roman"/>
          <w:szCs w:val="32"/>
        </w:rPr>
        <w:t>分别为</w:t>
      </w:r>
      <w:r>
        <w:rPr>
          <w:rFonts w:hint="default" w:ascii="Times New Roman" w:hAnsi="Times New Roman" w:eastAsia="仿宋" w:cs="Times New Roman"/>
          <w:color w:val="000000"/>
          <w:szCs w:val="32"/>
        </w:rPr>
        <w:t>卫河1个河段（东牧村橡胶坝至新中大道橡胶坝，绿地面积15万㎡，水面面积20万㎡）和赵定河6个河段（人民胜利渠至荣校东路，绿地面积26.2万㎡，水面面积23.44万㎡）</w:t>
      </w:r>
      <w:r>
        <w:rPr>
          <w:rFonts w:hint="default" w:ascii="Times New Roman" w:hAnsi="Times New Roman" w:eastAsia="仿宋" w:cs="Times New Roman"/>
          <w:bCs/>
          <w:color w:val="000000"/>
          <w:szCs w:val="32"/>
        </w:rPr>
        <w:t>。</w:t>
      </w:r>
    </w:p>
    <w:p>
      <w:pPr>
        <w:widowControl w:val="0"/>
        <w:ind w:firstLine="640"/>
        <w:rPr>
          <w:rFonts w:hint="default" w:ascii="Times New Roman" w:hAnsi="Times New Roman" w:cs="Times New Roman"/>
        </w:rPr>
      </w:pPr>
      <w:bookmarkStart w:id="83" w:name="_Toc91522490"/>
      <w:r>
        <w:rPr>
          <w:rFonts w:hint="default" w:ascii="Times New Roman" w:hAnsi="Times New Roman" w:cs="Times New Roman"/>
          <w:kern w:val="2"/>
          <w:szCs w:val="32"/>
        </w:rPr>
        <w:t>评价涉及时间段为2022年1月1日到2022年12月31日。</w:t>
      </w:r>
    </w:p>
    <w:p>
      <w:pPr>
        <w:pStyle w:val="4"/>
        <w:ind w:firstLine="643"/>
        <w:rPr>
          <w:rFonts w:hint="default" w:ascii="Times New Roman" w:hAnsi="Times New Roman" w:eastAsia="仿宋_GB2312" w:cs="Times New Roman"/>
        </w:rPr>
      </w:pPr>
      <w:r>
        <w:rPr>
          <w:rFonts w:hint="default" w:ascii="Times New Roman" w:hAnsi="Times New Roman" w:cs="Times New Roman"/>
          <w:szCs w:val="32"/>
          <w:lang w:val="zh-TW" w:eastAsia="zh-TW"/>
        </w:rPr>
        <w:t>（</w:t>
      </w:r>
      <w:r>
        <w:rPr>
          <w:rFonts w:hint="default" w:ascii="Times New Roman" w:hAnsi="Times New Roman" w:cs="Times New Roman"/>
          <w:szCs w:val="32"/>
          <w:lang w:val="zh-TW"/>
        </w:rPr>
        <w:t>二</w:t>
      </w:r>
      <w:r>
        <w:rPr>
          <w:rFonts w:hint="default" w:ascii="Times New Roman" w:hAnsi="Times New Roman" w:cs="Times New Roman"/>
          <w:szCs w:val="32"/>
          <w:lang w:val="zh-TW" w:eastAsia="zh-TW"/>
        </w:rPr>
        <w:t>）</w:t>
      </w:r>
      <w:bookmarkStart w:id="84" w:name="_Toc23631"/>
      <w:r>
        <w:rPr>
          <w:rFonts w:hint="default" w:ascii="Times New Roman" w:hAnsi="Times New Roman" w:cs="Times New Roman"/>
        </w:rPr>
        <w:t>绩效评价依据</w:t>
      </w:r>
      <w:bookmarkEnd w:id="83"/>
    </w:p>
    <w:p>
      <w:pPr>
        <w:keepNext/>
        <w:keepLines/>
        <w:ind w:firstLine="643"/>
        <w:rPr>
          <w:rFonts w:hint="default" w:ascii="Times New Roman" w:hAnsi="Times New Roman" w:cs="Times New Roman"/>
          <w:b/>
          <w:bCs/>
        </w:rPr>
      </w:pPr>
      <w:r>
        <w:rPr>
          <w:rFonts w:hint="default" w:ascii="Times New Roman" w:hAnsi="Times New Roman" w:cs="Times New Roman"/>
          <w:b/>
          <w:bCs/>
        </w:rPr>
        <w:t>（1）预算绩效管理类</w:t>
      </w:r>
      <w:bookmarkEnd w:id="84"/>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①《中共中央 国务院关于全面实施预算绩效管理的意见》（中发〔2018〕34号）；</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②《财政部关于印发〈项目支出绩效评价管理办法〉的通知》（财预〔2020〕10号）；</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③《中共河南省委 河南省人民政府关于全面实施预算绩效管理的实施意见》（豫发〔2019〕10号）；</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④《关于贯彻落实豫发 〔2019〕10号精神全面实施预算绩效管理的通知》（新办发〔2020〕10号）。</w:t>
      </w:r>
    </w:p>
    <w:p>
      <w:pPr>
        <w:keepNext/>
        <w:keepLines/>
        <w:ind w:firstLine="643"/>
        <w:rPr>
          <w:rFonts w:hint="default" w:ascii="Times New Roman" w:hAnsi="Times New Roman" w:cs="Times New Roman"/>
        </w:rPr>
      </w:pPr>
      <w:bookmarkStart w:id="85" w:name="_Toc20873"/>
      <w:r>
        <w:rPr>
          <w:rFonts w:hint="default" w:ascii="Times New Roman" w:hAnsi="Times New Roman" w:cs="Times New Roman"/>
          <w:b/>
          <w:bCs/>
        </w:rPr>
        <w:t>（2）业务管理类</w:t>
      </w:r>
      <w:bookmarkEnd w:id="85"/>
    </w:p>
    <w:p>
      <w:pPr>
        <w:pStyle w:val="144"/>
        <w:ind w:firstLine="640"/>
        <w:rPr>
          <w:rFonts w:hint="default" w:ascii="Times New Roman" w:hAnsi="Times New Roman" w:cs="Times New Roman"/>
        </w:rPr>
      </w:pPr>
      <w:bookmarkStart w:id="86" w:name="_Toc17465"/>
      <w:r>
        <w:rPr>
          <w:rFonts w:hint="default" w:ascii="Times New Roman" w:hAnsi="Times New Roman" w:cs="Times New Roman"/>
        </w:rPr>
        <w:t>①</w:t>
      </w:r>
      <w:r>
        <w:rPr>
          <w:rFonts w:hint="default" w:ascii="Times New Roman" w:hAnsi="Times New Roman" w:cs="Times New Roman"/>
          <w:kern w:val="2"/>
          <w:szCs w:val="32"/>
        </w:rPr>
        <w:t>《河南省人民政府关于印发河南省城市河流清洁行动计划的通知》</w:t>
      </w:r>
      <w:r>
        <w:rPr>
          <w:rFonts w:hint="default" w:ascii="Times New Roman" w:hAnsi="Times New Roman" w:cs="Times New Roman"/>
          <w:kern w:val="2"/>
          <w:szCs w:val="32"/>
          <w:lang w:eastAsia="zh-CN"/>
        </w:rPr>
        <w:t>（</w:t>
      </w:r>
      <w:r>
        <w:rPr>
          <w:rFonts w:hint="default" w:ascii="Times New Roman" w:hAnsi="Times New Roman" w:cs="Times New Roman"/>
          <w:kern w:val="2"/>
          <w:szCs w:val="32"/>
        </w:rPr>
        <w:t>豫政〔2014〕53号)</w:t>
      </w:r>
      <w:r>
        <w:rPr>
          <w:rFonts w:hint="default" w:ascii="Times New Roman" w:hAnsi="Times New Roman" w:cs="Times New Roman"/>
          <w:color w:val="000000"/>
        </w:rPr>
        <w:t>；</w:t>
      </w:r>
    </w:p>
    <w:p>
      <w:pPr>
        <w:pStyle w:val="144"/>
        <w:ind w:firstLine="640"/>
        <w:rPr>
          <w:rFonts w:hint="default" w:ascii="Times New Roman" w:hAnsi="Times New Roman" w:cs="Times New Roman"/>
        </w:rPr>
      </w:pPr>
      <w:r>
        <w:rPr>
          <w:rFonts w:hint="default" w:ascii="Times New Roman" w:hAnsi="Times New Roman" w:cs="Times New Roman"/>
        </w:rPr>
        <w:t>②</w:t>
      </w:r>
      <w:r>
        <w:rPr>
          <w:rFonts w:hint="default" w:ascii="Times New Roman" w:hAnsi="Times New Roman" w:cs="Times New Roman"/>
          <w:kern w:val="2"/>
          <w:szCs w:val="32"/>
        </w:rPr>
        <w:t>《新乡市城市河流清洁行动计划实施方案》（新政〔2015〕4号）</w:t>
      </w:r>
      <w:r>
        <w:rPr>
          <w:rFonts w:hint="default" w:ascii="Times New Roman" w:hAnsi="Times New Roman" w:cs="Times New Roman"/>
        </w:rPr>
        <w:t>。</w:t>
      </w:r>
    </w:p>
    <w:p>
      <w:pPr>
        <w:keepNext/>
        <w:keepLines/>
        <w:ind w:firstLine="643"/>
        <w:rPr>
          <w:rFonts w:hint="default" w:ascii="Times New Roman" w:hAnsi="Times New Roman" w:cs="Times New Roman"/>
          <w:b/>
          <w:bCs/>
        </w:rPr>
      </w:pPr>
      <w:r>
        <w:rPr>
          <w:rFonts w:hint="default" w:ascii="Times New Roman" w:hAnsi="Times New Roman" w:cs="Times New Roman"/>
          <w:b/>
          <w:bCs/>
        </w:rPr>
        <w:t>（3）其他类</w:t>
      </w:r>
      <w:bookmarkEnd w:id="86"/>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①项目绩效目标申报表</w:t>
      </w:r>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②部门工作计划及总结</w:t>
      </w:r>
    </w:p>
    <w:p>
      <w:pPr>
        <w:widowControl w:val="0"/>
        <w:ind w:firstLine="640"/>
        <w:rPr>
          <w:rFonts w:hint="default" w:ascii="Times New Roman" w:hAnsi="Times New Roman" w:cs="Times New Roman"/>
        </w:rPr>
      </w:pPr>
      <w:r>
        <w:rPr>
          <w:rFonts w:hint="default" w:ascii="Times New Roman" w:hAnsi="Times New Roman" w:cs="Times New Roman"/>
          <w:kern w:val="2"/>
          <w:szCs w:val="32"/>
        </w:rPr>
        <w:t>③其他相关资料，包括财政部门的预算批复、季度考核验收报告、年度预算执行情况报告等。</w:t>
      </w:r>
    </w:p>
    <w:p>
      <w:pPr>
        <w:pStyle w:val="4"/>
        <w:ind w:firstLine="643"/>
        <w:rPr>
          <w:rFonts w:hint="default" w:ascii="Times New Roman" w:hAnsi="Times New Roman" w:eastAsia="仿宋_GB2312" w:cs="Times New Roman"/>
        </w:rPr>
      </w:pPr>
      <w:bookmarkStart w:id="87" w:name="_Toc91522491"/>
      <w:r>
        <w:rPr>
          <w:rFonts w:hint="default" w:ascii="Times New Roman" w:hAnsi="Times New Roman" w:cs="Times New Roman"/>
        </w:rPr>
        <w:t>（三）评价指标体系</w:t>
      </w:r>
      <w:bookmarkEnd w:id="87"/>
    </w:p>
    <w:p>
      <w:pPr>
        <w:widowControl w:val="0"/>
        <w:ind w:firstLine="640"/>
        <w:rPr>
          <w:rFonts w:hint="default" w:ascii="Times New Roman" w:hAnsi="Times New Roman" w:cs="Times New Roman"/>
          <w:kern w:val="2"/>
          <w:szCs w:val="32"/>
        </w:rPr>
      </w:pPr>
      <w:r>
        <w:rPr>
          <w:rFonts w:hint="default" w:ascii="Times New Roman" w:hAnsi="Times New Roman" w:cs="Times New Roman"/>
          <w:kern w:val="2"/>
          <w:szCs w:val="32"/>
        </w:rPr>
        <w:t>本项目指标体系从决策、过程、产出和效益四个方面进行分析，由4项一级指标、11项二级指标、24项三级指标和10个四级指标构成。数据主要来源于法规与政府文件、基础数据采集表、访谈、现场核查等。</w:t>
      </w:r>
    </w:p>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表3-1：指标体系简表</w:t>
      </w:r>
    </w:p>
    <w:tbl>
      <w:tblPr>
        <w:tblStyle w:val="37"/>
        <w:tblW w:w="4876" w:type="pct"/>
        <w:tblInd w:w="0" w:type="dxa"/>
        <w:tblLayout w:type="fixed"/>
        <w:tblCellMar>
          <w:top w:w="0" w:type="dxa"/>
          <w:left w:w="108" w:type="dxa"/>
          <w:bottom w:w="0" w:type="dxa"/>
          <w:right w:w="108" w:type="dxa"/>
        </w:tblCellMar>
      </w:tblPr>
      <w:tblGrid>
        <w:gridCol w:w="1289"/>
        <w:gridCol w:w="1340"/>
        <w:gridCol w:w="1694"/>
        <w:gridCol w:w="2280"/>
        <w:gridCol w:w="869"/>
        <w:gridCol w:w="839"/>
      </w:tblGrid>
      <w:tr>
        <w:tblPrEx>
          <w:tblCellMar>
            <w:top w:w="0" w:type="dxa"/>
            <w:left w:w="108" w:type="dxa"/>
            <w:bottom w:w="0" w:type="dxa"/>
            <w:right w:w="108" w:type="dxa"/>
          </w:tblCellMar>
        </w:tblPrEx>
        <w:trPr>
          <w:trHeight w:val="450" w:hRule="atLeast"/>
          <w:tblHeader/>
        </w:trPr>
        <w:tc>
          <w:tcPr>
            <w:tcW w:w="775"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一级指标</w:t>
            </w:r>
          </w:p>
        </w:tc>
        <w:tc>
          <w:tcPr>
            <w:tcW w:w="806"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二级指标</w:t>
            </w:r>
          </w:p>
        </w:tc>
        <w:tc>
          <w:tcPr>
            <w:tcW w:w="1019"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三级指标</w:t>
            </w:r>
          </w:p>
        </w:tc>
        <w:tc>
          <w:tcPr>
            <w:tcW w:w="1371"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四级指标</w:t>
            </w:r>
          </w:p>
        </w:tc>
        <w:tc>
          <w:tcPr>
            <w:tcW w:w="522"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权重</w:t>
            </w:r>
          </w:p>
        </w:tc>
        <w:tc>
          <w:tcPr>
            <w:tcW w:w="504"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得分</w:t>
            </w:r>
          </w:p>
        </w:tc>
      </w:tr>
      <w:tr>
        <w:tblPrEx>
          <w:tblCellMar>
            <w:top w:w="0" w:type="dxa"/>
            <w:left w:w="108" w:type="dxa"/>
            <w:bottom w:w="0" w:type="dxa"/>
            <w:right w:w="108" w:type="dxa"/>
          </w:tblCellMar>
        </w:tblPrEx>
        <w:trPr>
          <w:trHeight w:val="90"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A决策（15）</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A1项目立项</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A11立项依据充分性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433"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A12立项程序规范性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46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A2项目目标</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A21绩效目标合理性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2.25</w:t>
            </w:r>
          </w:p>
        </w:tc>
      </w:tr>
      <w:tr>
        <w:tblPrEx>
          <w:tblCellMar>
            <w:top w:w="0" w:type="dxa"/>
            <w:left w:w="108" w:type="dxa"/>
            <w:bottom w:w="0" w:type="dxa"/>
            <w:right w:w="108" w:type="dxa"/>
          </w:tblCellMar>
        </w:tblPrEx>
        <w:trPr>
          <w:trHeight w:val="47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A22绩效指标明确性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2.25</w:t>
            </w:r>
          </w:p>
        </w:tc>
      </w:tr>
      <w:tr>
        <w:tblPrEx>
          <w:tblCellMar>
            <w:top w:w="0" w:type="dxa"/>
            <w:left w:w="108" w:type="dxa"/>
            <w:bottom w:w="0" w:type="dxa"/>
            <w:right w:w="108" w:type="dxa"/>
          </w:tblCellMar>
        </w:tblPrEx>
        <w:trPr>
          <w:trHeight w:val="48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A3资金投入</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A31预算编制合理性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406"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B过程（25）</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B1资金管理</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B11资金到位率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41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B12资金到位及时性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439"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B13预算执行率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511"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B14资金使用合规性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627"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B2组织实施</w:t>
            </w:r>
          </w:p>
        </w:tc>
        <w:tc>
          <w:tcPr>
            <w:tcW w:w="10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B21项目管理制度健全性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B211财务管理制度健全性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1</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CellMar>
            <w:top w:w="0" w:type="dxa"/>
            <w:left w:w="108" w:type="dxa"/>
            <w:bottom w:w="0" w:type="dxa"/>
            <w:right w:w="108" w:type="dxa"/>
          </w:tblCellMar>
        </w:tblPrEx>
        <w:trPr>
          <w:trHeight w:val="52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B212项目管理制度健全性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1</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CellMar>
            <w:top w:w="0" w:type="dxa"/>
            <w:left w:w="108" w:type="dxa"/>
            <w:bottom w:w="0" w:type="dxa"/>
            <w:right w:w="108" w:type="dxa"/>
          </w:tblCellMar>
        </w:tblPrEx>
        <w:trPr>
          <w:trHeight w:val="467"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B22项目管理制度执行有效性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B221政府采购合规性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348"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B222</w:t>
            </w:r>
            <w:r>
              <w:rPr>
                <w:rStyle w:val="208"/>
                <w:rFonts w:hint="default" w:ascii="Times New Roman" w:hAnsi="Times New Roman" w:cs="Times New Roman"/>
                <w:sz w:val="24"/>
                <w:szCs w:val="24"/>
                <w:lang w:bidi="ar"/>
              </w:rPr>
              <w:t>月评比规范性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1.5</w:t>
            </w:r>
          </w:p>
        </w:tc>
      </w:tr>
      <w:tr>
        <w:tblPrEx>
          <w:tblCellMar>
            <w:top w:w="0" w:type="dxa"/>
            <w:left w:w="108" w:type="dxa"/>
            <w:bottom w:w="0" w:type="dxa"/>
            <w:right w:w="108" w:type="dxa"/>
          </w:tblCellMar>
        </w:tblPrEx>
        <w:trPr>
          <w:trHeight w:val="447"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B223考核验收规范性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379"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B224财务监控有效性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46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B225档案管理规范性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CellMar>
            <w:top w:w="0" w:type="dxa"/>
            <w:left w:w="108" w:type="dxa"/>
            <w:bottom w:w="0" w:type="dxa"/>
            <w:right w:w="108" w:type="dxa"/>
          </w:tblCellMar>
        </w:tblPrEx>
        <w:trPr>
          <w:trHeight w:val="39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B226服务资源配置合理性</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eastAsia="等线" w:cs="Times New Roman"/>
                <w:i w:val="0"/>
                <w:iCs w:val="0"/>
                <w:color w:val="000000"/>
                <w:kern w:val="0"/>
                <w:sz w:val="21"/>
                <w:szCs w:val="21"/>
                <w:u w:val="none"/>
                <w:lang w:val="en-US" w:eastAsia="zh-CN" w:bidi="ar"/>
              </w:rPr>
              <w:t>1.5</w:t>
            </w:r>
          </w:p>
        </w:tc>
      </w:tr>
      <w:tr>
        <w:tblPrEx>
          <w:tblCellMar>
            <w:top w:w="0" w:type="dxa"/>
            <w:left w:w="108" w:type="dxa"/>
            <w:bottom w:w="0" w:type="dxa"/>
            <w:right w:w="108" w:type="dxa"/>
          </w:tblCellMar>
        </w:tblPrEx>
        <w:trPr>
          <w:trHeight w:val="586"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 产出（30）</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C1产出数量</w:t>
            </w:r>
          </w:p>
        </w:tc>
        <w:tc>
          <w:tcPr>
            <w:tcW w:w="10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C11卫河养护完成率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C111卫河绿地养护完成率</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619"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C112卫河水面养护完成率</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55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C12赵定河养护完成率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C121赵定河绿地养护完成率</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rPr>
          <w:trHeight w:val="469"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C122赵定河水面养护完成率</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36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C2产出质量</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C21卫河养护验收合格率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50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C22赵定河养护验收合格率</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45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C3产出时效</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C31卫河养护及时性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555"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C32赵定河养护及时性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4</w:t>
            </w:r>
          </w:p>
        </w:tc>
      </w:tr>
      <w:tr>
        <w:tblPrEx>
          <w:tblCellMar>
            <w:top w:w="0" w:type="dxa"/>
            <w:left w:w="108" w:type="dxa"/>
            <w:bottom w:w="0" w:type="dxa"/>
            <w:right w:w="108" w:type="dxa"/>
          </w:tblCellMar>
        </w:tblPrEx>
        <w:trPr>
          <w:trHeight w:val="496"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C4产出成本</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C41产出成本合理性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628" w:hRule="atLeast"/>
        </w:trPr>
        <w:tc>
          <w:tcPr>
            <w:tcW w:w="77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D效益（30）</w:t>
            </w: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D1项目效益</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D11卫生环境整洁度提升情况</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2</w:t>
            </w:r>
          </w:p>
        </w:tc>
      </w:tr>
      <w:tr>
        <w:tblPrEx>
          <w:tblCellMar>
            <w:top w:w="0" w:type="dxa"/>
            <w:left w:w="108" w:type="dxa"/>
            <w:bottom w:w="0" w:type="dxa"/>
            <w:right w:w="108" w:type="dxa"/>
          </w:tblCellMar>
        </w:tblPrEx>
        <w:trPr>
          <w:trHeight w:val="640"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D12提高沿岸植被保护能力</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w:t>
            </w:r>
          </w:p>
        </w:tc>
      </w:tr>
      <w:tr>
        <w:tblPrEx>
          <w:tblCellMar>
            <w:top w:w="0" w:type="dxa"/>
            <w:left w:w="108" w:type="dxa"/>
            <w:bottom w:w="0" w:type="dxa"/>
            <w:right w:w="108" w:type="dxa"/>
          </w:tblCellMar>
        </w:tblPrEx>
        <w:trPr>
          <w:trHeight w:val="494"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D13溺水等安全事故发生数</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4</w:t>
            </w:r>
          </w:p>
        </w:tc>
      </w:tr>
      <w:tr>
        <w:tblPrEx>
          <w:tblCellMar>
            <w:top w:w="0" w:type="dxa"/>
            <w:left w:w="108" w:type="dxa"/>
            <w:bottom w:w="0" w:type="dxa"/>
            <w:right w:w="108" w:type="dxa"/>
          </w:tblCellMar>
        </w:tblPrEx>
        <w:trPr>
          <w:trHeight w:val="482"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D14有责投诉数</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623"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D2可持续影响</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D21河渠养护机制健全性</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6</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5</w:t>
            </w:r>
          </w:p>
        </w:tc>
      </w:tr>
      <w:tr>
        <w:tblPrEx>
          <w:tblCellMar>
            <w:top w:w="0" w:type="dxa"/>
            <w:left w:w="108" w:type="dxa"/>
            <w:bottom w:w="0" w:type="dxa"/>
            <w:right w:w="108" w:type="dxa"/>
          </w:tblCellMar>
        </w:tblPrEx>
        <w:trPr>
          <w:trHeight w:val="421"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D3满意度</w:t>
            </w: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D31市民满意度</w:t>
            </w:r>
          </w:p>
        </w:tc>
        <w:tc>
          <w:tcPr>
            <w:tcW w:w="137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3.75</w:t>
            </w:r>
          </w:p>
        </w:tc>
      </w:tr>
      <w:tr>
        <w:tblPrEx>
          <w:tblCellMar>
            <w:top w:w="0" w:type="dxa"/>
            <w:left w:w="108" w:type="dxa"/>
            <w:bottom w:w="0" w:type="dxa"/>
            <w:right w:w="108" w:type="dxa"/>
          </w:tblCellMar>
        </w:tblPrEx>
        <w:trPr>
          <w:trHeight w:val="383" w:hRule="atLeast"/>
        </w:trPr>
        <w:tc>
          <w:tcPr>
            <w:tcW w:w="77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D32购买方满意度</w:t>
            </w:r>
          </w:p>
        </w:tc>
        <w:tc>
          <w:tcPr>
            <w:tcW w:w="137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eastAsia="等线" w:cs="Times New Roman"/>
                <w:i w:val="0"/>
                <w:iCs w:val="0"/>
                <w:color w:val="000000"/>
                <w:kern w:val="0"/>
                <w:sz w:val="21"/>
                <w:szCs w:val="21"/>
                <w:u w:val="none"/>
                <w:lang w:val="en-US" w:eastAsia="zh-CN" w:bidi="ar"/>
              </w:rPr>
              <w:t>5</w:t>
            </w:r>
          </w:p>
        </w:tc>
      </w:tr>
      <w:tr>
        <w:tblPrEx>
          <w:tblCellMar>
            <w:top w:w="0" w:type="dxa"/>
            <w:left w:w="108" w:type="dxa"/>
            <w:bottom w:w="0" w:type="dxa"/>
            <w:right w:w="108" w:type="dxa"/>
          </w:tblCellMar>
        </w:tblPrEx>
        <w:trPr>
          <w:trHeight w:val="441" w:hRule="atLeast"/>
        </w:trPr>
        <w:tc>
          <w:tcPr>
            <w:tcW w:w="77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合计</w:t>
            </w:r>
          </w:p>
        </w:tc>
        <w:tc>
          <w:tcPr>
            <w:tcW w:w="319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100</w:t>
            </w:r>
          </w:p>
        </w:tc>
        <w:tc>
          <w:tcPr>
            <w:tcW w:w="5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85.25</w:t>
            </w:r>
          </w:p>
        </w:tc>
      </w:tr>
    </w:tbl>
    <w:p>
      <w:pPr>
        <w:pStyle w:val="4"/>
        <w:ind w:firstLine="643"/>
        <w:rPr>
          <w:rFonts w:hint="default" w:ascii="Times New Roman" w:hAnsi="Times New Roman" w:eastAsia="仿宋_GB2312" w:cs="Times New Roman"/>
        </w:rPr>
      </w:pPr>
      <w:bookmarkStart w:id="88" w:name="_Toc91522492"/>
      <w:r>
        <w:rPr>
          <w:rFonts w:hint="default" w:ascii="Times New Roman" w:hAnsi="Times New Roman" w:cs="Times New Roman"/>
        </w:rPr>
        <w:t>（四）绩效评价原则、评价方法和标准</w:t>
      </w:r>
      <w:bookmarkEnd w:id="88"/>
    </w:p>
    <w:p>
      <w:pPr>
        <w:pStyle w:val="5"/>
        <w:ind w:firstLine="643"/>
        <w:rPr>
          <w:rFonts w:hint="default" w:ascii="Times New Roman" w:hAnsi="Times New Roman" w:cs="Times New Roman"/>
        </w:rPr>
      </w:pPr>
      <w:r>
        <w:rPr>
          <w:rFonts w:hint="default" w:ascii="Times New Roman" w:hAnsi="Times New Roman" w:cs="Times New Roman"/>
        </w:rPr>
        <w:t>1.绩效评价原则</w:t>
      </w:r>
    </w:p>
    <w:p>
      <w:pPr>
        <w:ind w:firstLine="640"/>
        <w:rPr>
          <w:rFonts w:hint="default" w:ascii="Times New Roman" w:hAnsi="Times New Roman" w:cs="Times New Roman"/>
          <w:szCs w:val="32"/>
        </w:rPr>
      </w:pPr>
      <w:r>
        <w:rPr>
          <w:rFonts w:hint="default" w:ascii="Times New Roman" w:hAnsi="Times New Roman" w:cs="Times New Roman"/>
          <w:szCs w:val="32"/>
        </w:rPr>
        <w:t>本次绩效评价遵循以下原则：</w:t>
      </w:r>
    </w:p>
    <w:p>
      <w:pPr>
        <w:ind w:firstLine="640"/>
        <w:rPr>
          <w:rFonts w:hint="default" w:ascii="Times New Roman" w:hAnsi="Times New Roman" w:cs="Times New Roman"/>
          <w:szCs w:val="32"/>
        </w:rPr>
      </w:pPr>
      <w:r>
        <w:rPr>
          <w:rFonts w:hint="default" w:ascii="Times New Roman" w:hAnsi="Times New Roman" w:cs="Times New Roman"/>
          <w:szCs w:val="32"/>
        </w:rPr>
        <w:t>科学规范，绩效评价注重财政支出的经济性、效率性和效益性、严格执行规定的程度，采用定量与定性分析相结合的原则。</w:t>
      </w:r>
    </w:p>
    <w:p>
      <w:pPr>
        <w:ind w:firstLine="640"/>
        <w:rPr>
          <w:rFonts w:hint="default" w:ascii="Times New Roman" w:hAnsi="Times New Roman" w:cs="Times New Roman"/>
          <w:szCs w:val="32"/>
        </w:rPr>
      </w:pPr>
      <w:r>
        <w:rPr>
          <w:rFonts w:hint="default" w:ascii="Times New Roman" w:hAnsi="Times New Roman" w:cs="Times New Roman"/>
          <w:szCs w:val="32"/>
        </w:rPr>
        <w:t>公正公开，绩效评价客观、公正，标准统一、资料可靠，依据公开并接受监督。</w:t>
      </w:r>
    </w:p>
    <w:p>
      <w:pPr>
        <w:ind w:firstLine="640"/>
        <w:rPr>
          <w:rFonts w:hint="default" w:ascii="Times New Roman" w:hAnsi="Times New Roman" w:cs="Times New Roman"/>
          <w:szCs w:val="32"/>
          <w:highlight w:val="green"/>
        </w:rPr>
      </w:pPr>
      <w:r>
        <w:rPr>
          <w:rFonts w:hint="default" w:ascii="Times New Roman" w:hAnsi="Times New Roman" w:cs="Times New Roman"/>
          <w:szCs w:val="32"/>
        </w:rPr>
        <w:t>绩效相关，绩效评价针对具体支出及其产出绩效进行评价，结果清晰反映支出和产出绩效之间的紧密对应关系。</w:t>
      </w:r>
    </w:p>
    <w:p>
      <w:pPr>
        <w:pStyle w:val="5"/>
        <w:ind w:firstLine="643"/>
        <w:rPr>
          <w:rFonts w:hint="default" w:ascii="Times New Roman" w:hAnsi="Times New Roman" w:cs="Times New Roman"/>
          <w:highlight w:val="green"/>
        </w:rPr>
      </w:pPr>
      <w:r>
        <w:rPr>
          <w:rFonts w:hint="default" w:ascii="Times New Roman" w:hAnsi="Times New Roman" w:cs="Times New Roman"/>
        </w:rPr>
        <w:t>2.评价方法</w:t>
      </w:r>
    </w:p>
    <w:p>
      <w:pPr>
        <w:ind w:firstLine="643"/>
        <w:rPr>
          <w:rFonts w:hint="default" w:ascii="Times New Roman" w:hAnsi="Times New Roman" w:cs="Times New Roman"/>
          <w:b/>
          <w:szCs w:val="32"/>
        </w:rPr>
      </w:pPr>
      <w:r>
        <w:rPr>
          <w:rFonts w:hint="default" w:ascii="Times New Roman" w:hAnsi="Times New Roman" w:cs="Times New Roman"/>
          <w:b/>
          <w:szCs w:val="32"/>
        </w:rPr>
        <w:t>（1）实地调查</w:t>
      </w:r>
    </w:p>
    <w:p>
      <w:pPr>
        <w:ind w:firstLine="640"/>
        <w:rPr>
          <w:rFonts w:hint="default" w:ascii="Times New Roman" w:hAnsi="Times New Roman" w:cs="Times New Roman"/>
          <w:szCs w:val="32"/>
        </w:rPr>
      </w:pPr>
      <w:r>
        <w:rPr>
          <w:rFonts w:hint="default" w:ascii="Times New Roman" w:hAnsi="Times New Roman" w:cs="Times New Roman"/>
          <w:szCs w:val="32"/>
        </w:rPr>
        <w:t>评价小组到项目单位实地调查，对立项目的、资金拨付流程、资金使用范围和标准、项目申报材料、项目评审过程、审核资料、项目管理流程、项目相关管理制度等进行调查。</w:t>
      </w:r>
    </w:p>
    <w:p>
      <w:pPr>
        <w:ind w:firstLine="643"/>
        <w:rPr>
          <w:rFonts w:hint="default" w:ascii="Times New Roman" w:hAnsi="Times New Roman" w:cs="Times New Roman"/>
          <w:b/>
          <w:szCs w:val="32"/>
        </w:rPr>
      </w:pPr>
      <w:r>
        <w:rPr>
          <w:rFonts w:hint="default" w:ascii="Times New Roman" w:hAnsi="Times New Roman" w:cs="Times New Roman"/>
          <w:b/>
          <w:szCs w:val="32"/>
        </w:rPr>
        <w:t>（2）抽样调查</w:t>
      </w:r>
    </w:p>
    <w:p>
      <w:pPr>
        <w:ind w:firstLine="640"/>
        <w:rPr>
          <w:rFonts w:hint="default" w:ascii="Times New Roman" w:hAnsi="Times New Roman" w:cs="Times New Roman"/>
          <w:szCs w:val="32"/>
        </w:rPr>
      </w:pPr>
      <w:r>
        <w:rPr>
          <w:rFonts w:hint="default" w:ascii="Times New Roman" w:hAnsi="Times New Roman" w:cs="Times New Roman"/>
          <w:szCs w:val="32"/>
        </w:rPr>
        <w:t>根据评价需要，为了解项目资金实际使用情况，评价小组结合项目单位提供的支出明细进行凭证抽样调查，针对资金使用对象、使用范围、使用标准以及资金审批流程进行核查；对项目单位评审流程及审核结果进行调查。</w:t>
      </w:r>
    </w:p>
    <w:p>
      <w:pPr>
        <w:ind w:firstLine="643"/>
        <w:rPr>
          <w:rFonts w:hint="default" w:ascii="Times New Roman" w:hAnsi="Times New Roman" w:cs="Times New Roman"/>
          <w:b/>
          <w:szCs w:val="32"/>
        </w:rPr>
      </w:pPr>
      <w:r>
        <w:rPr>
          <w:rFonts w:hint="default" w:ascii="Times New Roman" w:hAnsi="Times New Roman" w:cs="Times New Roman"/>
          <w:b/>
          <w:szCs w:val="32"/>
        </w:rPr>
        <w:t>（3）问卷调查</w:t>
      </w:r>
    </w:p>
    <w:p>
      <w:pPr>
        <w:ind w:firstLine="640"/>
        <w:rPr>
          <w:rFonts w:hint="default" w:ascii="Times New Roman" w:hAnsi="Times New Roman" w:cs="Times New Roman"/>
          <w:bCs/>
          <w:szCs w:val="32"/>
        </w:rPr>
      </w:pPr>
      <w:r>
        <w:rPr>
          <w:rFonts w:hint="default" w:ascii="Times New Roman" w:hAnsi="Times New Roman" w:cs="Times New Roman"/>
          <w:bCs/>
          <w:szCs w:val="32"/>
        </w:rPr>
        <w:t>根据评价需要，针对性设置调查问卷，调研对象为河渠周边市民。主要对项目实施及结果的满意度调研。</w:t>
      </w:r>
    </w:p>
    <w:p>
      <w:pPr>
        <w:ind w:firstLine="643"/>
        <w:rPr>
          <w:rFonts w:hint="default" w:ascii="Times New Roman" w:hAnsi="Times New Roman" w:cs="Times New Roman"/>
          <w:b/>
          <w:szCs w:val="32"/>
        </w:rPr>
      </w:pPr>
      <w:r>
        <w:rPr>
          <w:rFonts w:hint="default" w:ascii="Times New Roman" w:hAnsi="Times New Roman" w:cs="Times New Roman"/>
          <w:b/>
          <w:szCs w:val="32"/>
        </w:rPr>
        <w:t>（4）统计分析</w:t>
      </w:r>
    </w:p>
    <w:p>
      <w:pPr>
        <w:ind w:firstLine="640"/>
        <w:rPr>
          <w:rFonts w:hint="default" w:ascii="Times New Roman" w:hAnsi="Times New Roman" w:cs="Times New Roman"/>
          <w:szCs w:val="32"/>
        </w:rPr>
      </w:pPr>
      <w:r>
        <w:rPr>
          <w:rFonts w:hint="default" w:ascii="Times New Roman" w:hAnsi="Times New Roman" w:cs="Times New Roman"/>
          <w:szCs w:val="32"/>
        </w:rPr>
        <w:t>对项目单位提供的支出明细、考核办法等进行统计分析，按照评价标准对过程类指标进行打分；通过对整理后的访谈内容进行统计分析，按照评价标准对效益类指标进行打分。</w:t>
      </w:r>
    </w:p>
    <w:p>
      <w:pPr>
        <w:ind w:firstLine="643"/>
        <w:rPr>
          <w:rFonts w:hint="default" w:ascii="Times New Roman" w:hAnsi="Times New Roman" w:cs="Times New Roman"/>
          <w:b/>
          <w:szCs w:val="32"/>
        </w:rPr>
      </w:pPr>
      <w:r>
        <w:rPr>
          <w:rFonts w:hint="default" w:ascii="Times New Roman" w:hAnsi="Times New Roman" w:cs="Times New Roman"/>
          <w:b/>
          <w:szCs w:val="32"/>
        </w:rPr>
        <w:t>（5）逻辑分析</w:t>
      </w:r>
    </w:p>
    <w:p>
      <w:pPr>
        <w:ind w:firstLine="640"/>
        <w:rPr>
          <w:rFonts w:hint="default" w:ascii="Times New Roman" w:hAnsi="Times New Roman" w:cs="Times New Roman"/>
          <w:szCs w:val="32"/>
        </w:rPr>
      </w:pPr>
      <w:r>
        <w:rPr>
          <w:rFonts w:hint="default" w:ascii="Times New Roman" w:hAnsi="Times New Roman" w:cs="Times New Roman"/>
          <w:szCs w:val="32"/>
        </w:rPr>
        <w:t>通过逻辑推理分析，设定条件与各种可能产生的结果相关性来寻求各指标之间的内在联系，并借以找出财政资金投入与产出的效果之间的内在联系。</w:t>
      </w:r>
    </w:p>
    <w:p>
      <w:pPr>
        <w:ind w:firstLine="643"/>
        <w:rPr>
          <w:rFonts w:hint="default" w:ascii="Times New Roman" w:hAnsi="Times New Roman" w:cs="Times New Roman"/>
          <w:b/>
          <w:szCs w:val="32"/>
        </w:rPr>
      </w:pPr>
      <w:r>
        <w:rPr>
          <w:rFonts w:hint="default" w:ascii="Times New Roman" w:hAnsi="Times New Roman" w:cs="Times New Roman"/>
          <w:b/>
          <w:szCs w:val="32"/>
        </w:rPr>
        <w:t>（6）因素分析法</w:t>
      </w:r>
    </w:p>
    <w:p>
      <w:pPr>
        <w:ind w:firstLine="640"/>
        <w:rPr>
          <w:rFonts w:hint="default" w:ascii="Times New Roman" w:hAnsi="Times New Roman" w:cs="Times New Roman"/>
          <w:szCs w:val="32"/>
        </w:rPr>
      </w:pPr>
      <w:r>
        <w:rPr>
          <w:rFonts w:hint="default" w:ascii="Times New Roman" w:hAnsi="Times New Roman" w:cs="Times New Roman"/>
          <w:szCs w:val="32"/>
        </w:rPr>
        <w:t>因素分析法主要是指根据分析对象选择应考虑的各种因素，凭借分析人员的知识和经验研究各因素对确定选择对象的影响及影响程度。</w:t>
      </w:r>
    </w:p>
    <w:p>
      <w:pPr>
        <w:pStyle w:val="5"/>
        <w:ind w:firstLine="643"/>
        <w:rPr>
          <w:rFonts w:hint="default" w:ascii="Times New Roman" w:hAnsi="Times New Roman" w:cs="Times New Roman"/>
        </w:rPr>
      </w:pPr>
      <w:r>
        <w:rPr>
          <w:rFonts w:hint="default" w:ascii="Times New Roman" w:hAnsi="Times New Roman" w:cs="Times New Roman"/>
        </w:rPr>
        <w:t>3.评价标准</w:t>
      </w:r>
    </w:p>
    <w:p>
      <w:pPr>
        <w:ind w:firstLine="640"/>
        <w:rPr>
          <w:rFonts w:hint="default" w:ascii="Times New Roman" w:hAnsi="Times New Roman" w:cs="Times New Roman"/>
          <w:szCs w:val="32"/>
        </w:rPr>
      </w:pPr>
      <w:r>
        <w:rPr>
          <w:rFonts w:hint="default" w:ascii="Times New Roman" w:hAnsi="Times New Roman" w:cs="Times New Roman"/>
          <w:szCs w:val="32"/>
        </w:rPr>
        <w:t>本报告的评价标准是依据绩效评价基本原理，按照新乡市财政局</w:t>
      </w:r>
      <w:r>
        <w:rPr>
          <w:rFonts w:hint="default" w:ascii="Times New Roman" w:hAnsi="Times New Roman" w:cs="Times New Roman"/>
          <w:kern w:val="2"/>
          <w:szCs w:val="32"/>
        </w:rPr>
        <w:t>《新乡市财政局关于进一步加强全面预算绩效管理工作的通知》（新财效〔2021〕2号）</w:t>
      </w:r>
      <w:r>
        <w:rPr>
          <w:rFonts w:hint="default" w:ascii="Times New Roman" w:hAnsi="Times New Roman" w:cs="Times New Roman"/>
          <w:szCs w:val="32"/>
        </w:rPr>
        <w:t>，分别按照计划标准、行业标准、历史标准制定。</w:t>
      </w:r>
    </w:p>
    <w:p>
      <w:pPr>
        <w:ind w:firstLine="640"/>
        <w:rPr>
          <w:rFonts w:hint="default" w:ascii="Times New Roman" w:hAnsi="Times New Roman" w:cs="Times New Roman"/>
          <w:szCs w:val="32"/>
        </w:rPr>
      </w:pPr>
      <w:r>
        <w:rPr>
          <w:rFonts w:hint="default" w:ascii="Times New Roman" w:hAnsi="Times New Roman" w:cs="Times New Roman"/>
          <w:szCs w:val="32"/>
        </w:rPr>
        <w:t>对于反映项目立项情况的立项依据充分性、立项的规范性等指标，如A1类指标，根据项目对相关政策、法规、制度的符合度进行打分。</w:t>
      </w:r>
    </w:p>
    <w:p>
      <w:pPr>
        <w:ind w:firstLine="640"/>
        <w:rPr>
          <w:rFonts w:hint="default" w:ascii="Times New Roman" w:hAnsi="Times New Roman" w:cs="Times New Roman"/>
          <w:szCs w:val="32"/>
        </w:rPr>
      </w:pPr>
      <w:r>
        <w:rPr>
          <w:rFonts w:hint="default" w:ascii="Times New Roman" w:hAnsi="Times New Roman" w:cs="Times New Roman"/>
          <w:szCs w:val="32"/>
        </w:rPr>
        <w:t>对于反映财政预算执行情况的指标，如B11类指标，通常以100%为满分，按照区间赋值计算。</w:t>
      </w:r>
    </w:p>
    <w:p>
      <w:pPr>
        <w:ind w:firstLine="640"/>
        <w:rPr>
          <w:rFonts w:hint="default" w:ascii="Times New Roman" w:hAnsi="Times New Roman" w:cs="Times New Roman"/>
          <w:szCs w:val="32"/>
        </w:rPr>
      </w:pPr>
      <w:r>
        <w:rPr>
          <w:rFonts w:hint="default" w:ascii="Times New Roman" w:hAnsi="Times New Roman" w:cs="Times New Roman"/>
          <w:szCs w:val="32"/>
        </w:rPr>
        <w:t>对于反映项目完成情况、及时情况的指标，如C11类指标，分别按其完成率、及时率打分。</w:t>
      </w:r>
    </w:p>
    <w:p>
      <w:pPr>
        <w:ind w:firstLine="640"/>
        <w:rPr>
          <w:rFonts w:hint="default" w:ascii="Times New Roman" w:hAnsi="Times New Roman" w:cs="Times New Roman"/>
          <w:szCs w:val="32"/>
        </w:rPr>
      </w:pPr>
      <w:r>
        <w:rPr>
          <w:rFonts w:hint="default" w:ascii="Times New Roman" w:hAnsi="Times New Roman" w:cs="Times New Roman"/>
          <w:szCs w:val="32"/>
        </w:rPr>
        <w:t>对于描述状态的定性类指标，如满意度指标，一般通过问卷或访谈等方式采集相关数据，统计分析后，按加权平均的结果进行打分。</w:t>
      </w:r>
    </w:p>
    <w:p>
      <w:pPr>
        <w:ind w:firstLine="640"/>
        <w:rPr>
          <w:rFonts w:hint="default" w:ascii="Times New Roman" w:hAnsi="Times New Roman" w:cs="Times New Roman"/>
          <w:szCs w:val="32"/>
        </w:rPr>
      </w:pPr>
      <w:r>
        <w:rPr>
          <w:rFonts w:hint="default" w:ascii="Times New Roman" w:hAnsi="Times New Roman" w:cs="Times New Roman"/>
          <w:szCs w:val="32"/>
        </w:rPr>
        <w:t>对于其他指标，依据其特征，将考核的具体结果按绩效评价指标体系表中的评分规则给予打分。</w:t>
      </w:r>
    </w:p>
    <w:p>
      <w:pPr>
        <w:ind w:firstLine="640"/>
        <w:rPr>
          <w:rFonts w:hint="default" w:ascii="Times New Roman" w:hAnsi="Times New Roman" w:cs="Times New Roman"/>
          <w:szCs w:val="32"/>
        </w:rPr>
      </w:pPr>
      <w:r>
        <w:rPr>
          <w:rFonts w:hint="default" w:ascii="Times New Roman" w:hAnsi="Times New Roman" w:cs="Times New Roman"/>
          <w:szCs w:val="32"/>
        </w:rPr>
        <w:t>本报告绩效评价指标体系表中各指标的权重由评价小组根据绩效评价原理和评价需求，在调研基础上依据指标的重要性产生，所内专家评审后，将根据专家意见最终确定指标权重。</w:t>
      </w:r>
    </w:p>
    <w:bookmarkEnd w:id="82"/>
    <w:p>
      <w:pPr>
        <w:ind w:firstLine="643"/>
        <w:outlineLvl w:val="1"/>
        <w:rPr>
          <w:rFonts w:hint="default" w:ascii="Times New Roman" w:hAnsi="Times New Roman" w:eastAsia="楷体_GB2312" w:cs="Times New Roman"/>
          <w:b/>
          <w:szCs w:val="32"/>
        </w:rPr>
      </w:pPr>
      <w:bookmarkStart w:id="89" w:name="_Toc91522493"/>
      <w:bookmarkStart w:id="90" w:name="_Toc3473"/>
      <w:bookmarkStart w:id="91" w:name="_Toc27263"/>
      <w:r>
        <w:rPr>
          <w:rFonts w:hint="default" w:ascii="Times New Roman" w:hAnsi="Times New Roman" w:eastAsia="楷体_GB2312" w:cs="Times New Roman"/>
          <w:b/>
          <w:szCs w:val="32"/>
        </w:rPr>
        <w:t>（五）绩效评价工作过程</w:t>
      </w:r>
      <w:bookmarkEnd w:id="89"/>
      <w:bookmarkEnd w:id="90"/>
    </w:p>
    <w:p>
      <w:pPr>
        <w:pStyle w:val="5"/>
        <w:ind w:firstLine="643"/>
        <w:rPr>
          <w:rFonts w:hint="default" w:ascii="Times New Roman" w:hAnsi="Times New Roman" w:cs="Times New Roman"/>
        </w:rPr>
      </w:pPr>
      <w:r>
        <w:rPr>
          <w:rFonts w:hint="default" w:ascii="Times New Roman" w:hAnsi="Times New Roman" w:cs="Times New Roman"/>
        </w:rPr>
        <w:t>1.绩效评价方案制定过程</w:t>
      </w:r>
    </w:p>
    <w:p>
      <w:pPr>
        <w:ind w:firstLine="640"/>
        <w:rPr>
          <w:rFonts w:hint="default" w:ascii="Times New Roman" w:hAnsi="Times New Roman" w:cs="Times New Roman"/>
          <w:bCs/>
          <w:szCs w:val="32"/>
        </w:rPr>
      </w:pPr>
      <w:r>
        <w:rPr>
          <w:rFonts w:hint="default" w:ascii="Times New Roman" w:hAnsi="Times New Roman" w:cs="Times New Roman"/>
          <w:bCs/>
          <w:szCs w:val="32"/>
        </w:rPr>
        <w:t>在</w:t>
      </w:r>
      <w:r>
        <w:rPr>
          <w:rFonts w:hint="default" w:ascii="Times New Roman" w:hAnsi="Times New Roman" w:cs="Times New Roman"/>
          <w:bCs/>
          <w:szCs w:val="32"/>
          <w:lang w:val="en-US" w:eastAsia="zh-CN"/>
        </w:rPr>
        <w:t>4</w:t>
      </w:r>
      <w:r>
        <w:rPr>
          <w:rFonts w:hint="default" w:ascii="Times New Roman" w:hAnsi="Times New Roman" w:cs="Times New Roman"/>
          <w:bCs/>
          <w:szCs w:val="32"/>
        </w:rPr>
        <w:t>月份启动绩效评价工作后，委托方组织召开三方定位会，明确本次评价工作的流程，并对绩效评价工作的重要性进行强调。</w:t>
      </w:r>
    </w:p>
    <w:p>
      <w:pPr>
        <w:ind w:firstLine="640"/>
        <w:rPr>
          <w:rFonts w:hint="default" w:ascii="Times New Roman" w:hAnsi="Times New Roman" w:cs="Times New Roman"/>
          <w:bCs/>
          <w:szCs w:val="32"/>
        </w:rPr>
      </w:pPr>
      <w:r>
        <w:rPr>
          <w:rFonts w:hint="default" w:ascii="Times New Roman" w:hAnsi="Times New Roman" w:cs="Times New Roman"/>
          <w:bCs/>
          <w:szCs w:val="32"/>
        </w:rPr>
        <w:t>在方案制定前，评价小组前往项目单位进行访谈，深入了解市区河渠社会化养护项目基本情况，收集项目的立项政策依据、制度、资金使用情况等相关资料。评价小组对项目实施的背景、法律法规资料、项目实施计划及实际执行情况进行深入研究，按照项目决策、项目过程、产出和效益的指标体系细化设计了项目绩效指标，形成了项目绩效评价初步方案。提交绩效评价的方案初稿后，所内专家对评价组制定的方案进行了三级复核，所内专家组根据绩效评价理论和初步方案的整体评价思路，对项目评价思路、评价指标体系和访谈提纲提出了修改意见。收到评审意见后，评价人员根据专家意见逐条修改完善。</w:t>
      </w:r>
    </w:p>
    <w:p>
      <w:pPr>
        <w:pStyle w:val="5"/>
        <w:ind w:firstLine="643"/>
        <w:rPr>
          <w:rFonts w:hint="default" w:ascii="Times New Roman" w:hAnsi="Times New Roman" w:cs="Times New Roman"/>
        </w:rPr>
      </w:pPr>
      <w:r>
        <w:rPr>
          <w:rFonts w:hint="default" w:ascii="Times New Roman" w:hAnsi="Times New Roman" w:cs="Times New Roman"/>
        </w:rPr>
        <w:t>2.绩效评价报告撰写过程</w:t>
      </w:r>
    </w:p>
    <w:p>
      <w:pPr>
        <w:ind w:firstLine="640"/>
        <w:rPr>
          <w:rFonts w:hint="default" w:ascii="Times New Roman" w:hAnsi="Times New Roman" w:cs="Times New Roman"/>
          <w:bCs/>
          <w:szCs w:val="32"/>
        </w:rPr>
      </w:pPr>
      <w:r>
        <w:rPr>
          <w:rFonts w:hint="default" w:ascii="Times New Roman" w:hAnsi="Times New Roman" w:cs="Times New Roman"/>
          <w:bCs/>
          <w:szCs w:val="32"/>
        </w:rPr>
        <w:t>为完成绩效指标的分析评价工作，项目组通过问卷调查和访谈形式，填列基础表、现场勘查等方法获取的相应数据，设计评价模型进行定量分析评价，处理数据。</w:t>
      </w:r>
    </w:p>
    <w:p>
      <w:pPr>
        <w:ind w:firstLine="643"/>
        <w:rPr>
          <w:rFonts w:hint="default" w:ascii="Times New Roman" w:hAnsi="Times New Roman" w:cs="Times New Roman"/>
          <w:b/>
          <w:szCs w:val="32"/>
        </w:rPr>
      </w:pPr>
      <w:r>
        <w:rPr>
          <w:rFonts w:hint="default" w:ascii="Times New Roman" w:hAnsi="Times New Roman" w:cs="Times New Roman"/>
          <w:b/>
          <w:szCs w:val="32"/>
        </w:rPr>
        <w:t>（1）基础数据来源</w:t>
      </w:r>
    </w:p>
    <w:p>
      <w:pPr>
        <w:ind w:firstLine="640"/>
        <w:rPr>
          <w:rFonts w:hint="default" w:ascii="Times New Roman" w:hAnsi="Times New Roman" w:cs="Times New Roman"/>
          <w:bCs/>
          <w:szCs w:val="32"/>
        </w:rPr>
      </w:pPr>
      <w:r>
        <w:rPr>
          <w:rFonts w:hint="default" w:ascii="Times New Roman" w:hAnsi="Times New Roman" w:cs="Times New Roman"/>
          <w:bCs/>
          <w:szCs w:val="32"/>
        </w:rPr>
        <w:t>基础数据的来源包括但不限于以下方面：</w:t>
      </w:r>
    </w:p>
    <w:p>
      <w:pPr>
        <w:ind w:firstLine="640"/>
        <w:rPr>
          <w:rFonts w:hint="default" w:ascii="Times New Roman" w:hAnsi="Times New Roman" w:cs="Times New Roman"/>
          <w:bCs/>
          <w:szCs w:val="32"/>
        </w:rPr>
      </w:pPr>
      <w:r>
        <w:rPr>
          <w:rFonts w:hint="default" w:ascii="Times New Roman" w:hAnsi="Times New Roman" w:cs="Times New Roman"/>
          <w:bCs/>
          <w:szCs w:val="32"/>
        </w:rPr>
        <w:t xml:space="preserve">①法律、法规和文件规范； </w:t>
      </w:r>
    </w:p>
    <w:p>
      <w:pPr>
        <w:ind w:firstLine="640"/>
        <w:rPr>
          <w:rFonts w:hint="default" w:ascii="Times New Roman" w:hAnsi="Times New Roman" w:cs="Times New Roman"/>
          <w:bCs/>
          <w:szCs w:val="32"/>
        </w:rPr>
      </w:pPr>
      <w:r>
        <w:rPr>
          <w:rFonts w:hint="default" w:ascii="Times New Roman" w:hAnsi="Times New Roman" w:cs="Times New Roman"/>
          <w:bCs/>
          <w:szCs w:val="32"/>
        </w:rPr>
        <w:t xml:space="preserve">②相关规划、计划和预算批复； </w:t>
      </w:r>
    </w:p>
    <w:p>
      <w:pPr>
        <w:ind w:firstLine="640"/>
        <w:rPr>
          <w:rFonts w:hint="default" w:ascii="Times New Roman" w:hAnsi="Times New Roman" w:cs="Times New Roman"/>
          <w:bCs/>
          <w:szCs w:val="32"/>
        </w:rPr>
      </w:pPr>
      <w:r>
        <w:rPr>
          <w:rFonts w:hint="default" w:ascii="Times New Roman" w:hAnsi="Times New Roman" w:cs="Times New Roman"/>
          <w:bCs/>
          <w:szCs w:val="32"/>
        </w:rPr>
        <w:t>③实施单位日常财务核算和业务统计数据；</w:t>
      </w:r>
    </w:p>
    <w:p>
      <w:pPr>
        <w:ind w:firstLine="640"/>
        <w:rPr>
          <w:rFonts w:hint="default" w:ascii="Times New Roman" w:hAnsi="Times New Roman" w:cs="Times New Roman"/>
          <w:bCs/>
          <w:szCs w:val="32"/>
        </w:rPr>
      </w:pPr>
      <w:r>
        <w:rPr>
          <w:rFonts w:hint="default" w:ascii="Times New Roman" w:hAnsi="Times New Roman" w:cs="Times New Roman"/>
          <w:bCs/>
          <w:szCs w:val="32"/>
        </w:rPr>
        <w:t>④现场调查取数；</w:t>
      </w:r>
    </w:p>
    <w:p>
      <w:pPr>
        <w:ind w:firstLine="640"/>
        <w:rPr>
          <w:rFonts w:hint="default" w:ascii="Times New Roman" w:hAnsi="Times New Roman" w:cs="Times New Roman"/>
          <w:bCs/>
          <w:szCs w:val="32"/>
        </w:rPr>
      </w:pPr>
      <w:r>
        <w:rPr>
          <w:rFonts w:hint="default" w:ascii="Times New Roman" w:hAnsi="Times New Roman" w:cs="Times New Roman"/>
          <w:bCs/>
          <w:szCs w:val="32"/>
        </w:rPr>
        <w:t>⑤访谈和问卷调查。根据指标需要，可针对性地选择对象，问卷的设计必须考虑访谈或调查对象的特征性、代表性和覆盖面，采取面访、电访、现场发放问卷、问卷星等适当的方式实施；</w:t>
      </w:r>
    </w:p>
    <w:p>
      <w:pPr>
        <w:ind w:firstLine="640"/>
        <w:rPr>
          <w:rFonts w:hint="default" w:ascii="Times New Roman" w:hAnsi="Times New Roman" w:cs="Times New Roman"/>
          <w:bCs/>
          <w:szCs w:val="32"/>
        </w:rPr>
      </w:pPr>
      <w:r>
        <w:rPr>
          <w:rFonts w:hint="default" w:ascii="Times New Roman" w:hAnsi="Times New Roman" w:cs="Times New Roman"/>
          <w:bCs/>
          <w:szCs w:val="32"/>
        </w:rPr>
        <w:t>⑥其他专业第三方的成果。如行业鉴定、审计等；</w:t>
      </w:r>
    </w:p>
    <w:p>
      <w:pPr>
        <w:ind w:firstLine="643"/>
        <w:rPr>
          <w:rFonts w:hint="default" w:ascii="Times New Roman" w:hAnsi="Times New Roman" w:cs="Times New Roman"/>
          <w:b/>
          <w:szCs w:val="32"/>
        </w:rPr>
      </w:pPr>
      <w:r>
        <w:rPr>
          <w:rFonts w:hint="default" w:ascii="Times New Roman" w:hAnsi="Times New Roman" w:cs="Times New Roman"/>
          <w:b/>
          <w:szCs w:val="32"/>
        </w:rPr>
        <w:t>（2）数据收集汇总</w:t>
      </w:r>
    </w:p>
    <w:p>
      <w:pPr>
        <w:ind w:firstLine="640"/>
        <w:rPr>
          <w:rFonts w:hint="default" w:ascii="Times New Roman" w:hAnsi="Times New Roman" w:cs="Times New Roman"/>
        </w:rPr>
      </w:pPr>
      <w:r>
        <w:rPr>
          <w:rFonts w:hint="default" w:ascii="Times New Roman" w:hAnsi="Times New Roman" w:cs="Times New Roman"/>
        </w:rPr>
        <w:t>根据初期了解的项目特点，设计通用的基础数据表，由我所设计，在设计基础数据表时，充分考虑不同主体、不同项目特点，设计有针对性的基础数据表，并通过对被评价单位进行相应的培训后发其协助填报，被评价单位对数据的真实性负责。</w:t>
      </w:r>
    </w:p>
    <w:p>
      <w:pPr>
        <w:ind w:firstLine="643"/>
        <w:rPr>
          <w:rFonts w:hint="default" w:ascii="Times New Roman" w:hAnsi="Times New Roman" w:cs="Times New Roman"/>
          <w:b/>
          <w:szCs w:val="32"/>
        </w:rPr>
      </w:pPr>
      <w:r>
        <w:rPr>
          <w:rFonts w:hint="default" w:ascii="Times New Roman" w:hAnsi="Times New Roman" w:cs="Times New Roman"/>
          <w:b/>
          <w:szCs w:val="32"/>
        </w:rPr>
        <w:t>（3）访谈</w:t>
      </w:r>
    </w:p>
    <w:p>
      <w:pPr>
        <w:ind w:firstLine="640"/>
        <w:rPr>
          <w:rFonts w:hint="default" w:ascii="Times New Roman" w:hAnsi="Times New Roman" w:cs="Times New Roman"/>
          <w:bCs/>
          <w:szCs w:val="32"/>
        </w:rPr>
      </w:pPr>
      <w:r>
        <w:rPr>
          <w:rFonts w:hint="default" w:ascii="Times New Roman" w:hAnsi="Times New Roman" w:cs="Times New Roman"/>
          <w:bCs/>
          <w:szCs w:val="32"/>
        </w:rPr>
        <w:t>访谈提纲内容由我所根据项目特点及绩效评价的关注重点进行列示，并提前发给受访对象。访谈结果的整理要标注受访对象的部门及职责信息。访谈结果的整理要坚持问题导向，各项目小组要将项目绩效评价指标体系和访谈工作联系起来，把握对不同访谈对象要获取的关键信息，确保访谈工作成果的有效性。访谈报告详见附件3。</w:t>
      </w:r>
    </w:p>
    <w:p>
      <w:pPr>
        <w:ind w:firstLine="643"/>
        <w:rPr>
          <w:rFonts w:hint="default" w:ascii="Times New Roman" w:hAnsi="Times New Roman" w:cs="Times New Roman"/>
          <w:b/>
          <w:szCs w:val="32"/>
        </w:rPr>
      </w:pPr>
      <w:r>
        <w:rPr>
          <w:rFonts w:hint="default" w:ascii="Times New Roman" w:hAnsi="Times New Roman" w:cs="Times New Roman"/>
          <w:b/>
          <w:szCs w:val="32"/>
        </w:rPr>
        <w:t>（4）社会调查满意度</w:t>
      </w:r>
    </w:p>
    <w:p>
      <w:pPr>
        <w:ind w:firstLine="640"/>
        <w:rPr>
          <w:rFonts w:hint="default" w:ascii="Times New Roman" w:hAnsi="Times New Roman" w:cs="Times New Roman"/>
        </w:rPr>
      </w:pPr>
      <w:r>
        <w:rPr>
          <w:rFonts w:hint="default" w:ascii="Times New Roman" w:hAnsi="Times New Roman" w:cs="Times New Roman"/>
        </w:rPr>
        <w:t>满意度调查结果的整理成果将以满意度报告的形式呈现。一方面满意度报告要对受访者基本信息以及基本问题的调查结果进行描述性统计，对回收问卷中受调查对象的身份特征与结构进行分析，考察回收问卷填写者与计划分层抽样比例是否大致相符，问卷是否具有代表性。另一方面，满意度调查报告的重要内容是对受调查者的满意度进行统计分析，包括对调查问卷的信度分析、效度分析，以确保调查问卷结果的可信性、一致性和有效性。同时再对满意度具体情况进行统计分析。</w:t>
      </w:r>
    </w:p>
    <w:p>
      <w:pPr>
        <w:ind w:firstLine="640"/>
        <w:rPr>
          <w:rFonts w:hint="default" w:ascii="Times New Roman" w:hAnsi="Times New Roman" w:cs="Times New Roman"/>
        </w:rPr>
      </w:pPr>
      <w:r>
        <w:rPr>
          <w:rFonts w:hint="default" w:ascii="Times New Roman" w:hAnsi="Times New Roman" w:cs="Times New Roman"/>
        </w:rPr>
        <w:t>①信度分析</w:t>
      </w:r>
    </w:p>
    <w:p>
      <w:pPr>
        <w:ind w:firstLine="640"/>
        <w:rPr>
          <w:rFonts w:hint="default" w:ascii="Times New Roman" w:hAnsi="Times New Roman" w:cs="Times New Roman"/>
        </w:rPr>
      </w:pPr>
      <w:r>
        <w:rPr>
          <w:rFonts w:hint="default" w:ascii="Times New Roman" w:hAnsi="Times New Roman" w:cs="Times New Roman"/>
        </w:rPr>
        <w:t>信度（Reliability）是指测量结果的一致性、稳定性及可靠性。本次问卷调查运用克朗巴哈信度系数法（Cronbach α）来测量满意度问题的信度，其计算公式为：</w:t>
      </w:r>
    </w:p>
    <w:p>
      <w:pPr>
        <w:spacing w:line="360" w:lineRule="auto"/>
        <w:ind w:firstLine="560"/>
        <w:jc w:val="center"/>
        <w:rPr>
          <w:rFonts w:hint="default" w:ascii="Times New Roman" w:hAnsi="Times New Roman" w:cs="Times New Roman"/>
        </w:rPr>
      </w:pPr>
      <w:r>
        <w:rPr>
          <w:rFonts w:hint="default" w:ascii="Times New Roman" w:hAnsi="Times New Roman" w:cs="Times New Roman"/>
          <w:sz w:val="28"/>
          <w:szCs w:val="28"/>
        </w:rPr>
        <w:object>
          <v:shape id="_x0000_i1025" o:spt="75" type="#_x0000_t75" style="height:75.7pt;width:115.65pt;" o:ole="t" filled="f" o:preferrelative="t" stroked="f" coordsize="21600,21600">
            <v:path/>
            <v:fill on="f" focussize="0,0"/>
            <v:stroke on="f" joinstyle="miter"/>
            <v:imagedata r:id="rId27" o:title=""/>
            <o:lock v:ext="edit" aspectratio="t"/>
            <w10:wrap type="none"/>
            <w10:anchorlock/>
          </v:shape>
          <o:OLEObject Type="Embed" ProgID="Msxml2.SAXXMLReader.5.0" ShapeID="_x0000_i1025" DrawAspect="Content" ObjectID="_1468075725" r:id="rId26">
            <o:LockedField>false</o:LockedField>
          </o:OLEObject>
        </w:object>
      </w:r>
    </w:p>
    <w:p>
      <w:pPr>
        <w:ind w:firstLine="640"/>
        <w:rPr>
          <w:rFonts w:hint="default" w:ascii="Times New Roman" w:hAnsi="Times New Roman" w:cs="Times New Roman"/>
        </w:rPr>
      </w:pPr>
      <w:r>
        <w:rPr>
          <w:rFonts w:hint="default" w:ascii="Times New Roman" w:hAnsi="Times New Roman" w:cs="Times New Roman"/>
        </w:rPr>
        <w:t>其中</w:t>
      </w:r>
      <w:r>
        <w:rPr>
          <w:rFonts w:hint="default" w:ascii="Times New Roman" w:hAnsi="Times New Roman" w:cs="Times New Roman"/>
        </w:rPr>
        <w:drawing>
          <wp:inline distT="0" distB="0" distL="114300" distR="114300">
            <wp:extent cx="142240" cy="142240"/>
            <wp:effectExtent l="0" t="0" r="10160" b="12065"/>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28"/>
                    <a:stretch>
                      <a:fillRect/>
                    </a:stretch>
                  </pic:blipFill>
                  <pic:spPr>
                    <a:xfrm>
                      <a:off x="0" y="0"/>
                      <a:ext cx="142240" cy="142240"/>
                    </a:xfrm>
                    <a:prstGeom prst="rect">
                      <a:avLst/>
                    </a:prstGeom>
                    <a:noFill/>
                    <a:ln>
                      <a:noFill/>
                    </a:ln>
                  </pic:spPr>
                </pic:pic>
              </a:graphicData>
            </a:graphic>
          </wp:inline>
        </w:drawing>
      </w:r>
      <w:r>
        <w:rPr>
          <w:rFonts w:hint="default" w:ascii="Times New Roman" w:hAnsi="Times New Roman" w:cs="Times New Roman"/>
        </w:rPr>
        <w:t>表示问卷中问题的数目，</w:t>
      </w:r>
      <w:r>
        <w:rPr>
          <w:rFonts w:hint="default" w:ascii="Times New Roman" w:hAnsi="Times New Roman" w:cs="Times New Roman"/>
        </w:rPr>
        <w:drawing>
          <wp:inline distT="0" distB="0" distL="114300" distR="114300">
            <wp:extent cx="190500" cy="219710"/>
            <wp:effectExtent l="0" t="0" r="0" b="1016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29"/>
                    <a:stretch>
                      <a:fillRect/>
                    </a:stretch>
                  </pic:blipFill>
                  <pic:spPr>
                    <a:xfrm>
                      <a:off x="0" y="0"/>
                      <a:ext cx="190500" cy="219710"/>
                    </a:xfrm>
                    <a:prstGeom prst="rect">
                      <a:avLst/>
                    </a:prstGeom>
                    <a:noFill/>
                    <a:ln>
                      <a:noFill/>
                    </a:ln>
                  </pic:spPr>
                </pic:pic>
              </a:graphicData>
            </a:graphic>
          </wp:inline>
        </w:drawing>
      </w:r>
      <w:r>
        <w:rPr>
          <w:rFonts w:hint="default" w:ascii="Times New Roman" w:hAnsi="Times New Roman" w:cs="Times New Roman"/>
        </w:rPr>
        <w:t>为第</w:t>
      </w:r>
      <w:r>
        <w:rPr>
          <w:rFonts w:hint="default" w:ascii="Times New Roman" w:hAnsi="Times New Roman" w:cs="Times New Roman"/>
        </w:rPr>
        <w:drawing>
          <wp:inline distT="0" distB="0" distL="114300" distR="114300">
            <wp:extent cx="86360" cy="142240"/>
            <wp:effectExtent l="0" t="0" r="5080" b="1143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30"/>
                    <a:stretch>
                      <a:fillRect/>
                    </a:stretch>
                  </pic:blipFill>
                  <pic:spPr>
                    <a:xfrm>
                      <a:off x="0" y="0"/>
                      <a:ext cx="86360" cy="142240"/>
                    </a:xfrm>
                    <a:prstGeom prst="rect">
                      <a:avLst/>
                    </a:prstGeom>
                    <a:noFill/>
                    <a:ln>
                      <a:noFill/>
                    </a:ln>
                  </pic:spPr>
                </pic:pic>
              </a:graphicData>
            </a:graphic>
          </wp:inline>
        </w:drawing>
      </w:r>
      <w:r>
        <w:rPr>
          <w:rFonts w:hint="default" w:ascii="Times New Roman" w:hAnsi="Times New Roman" w:cs="Times New Roman"/>
        </w:rPr>
        <w:t>个问题得分的方差，</w:t>
      </w:r>
      <w:r>
        <w:rPr>
          <w:rFonts w:hint="default" w:ascii="Times New Roman" w:hAnsi="Times New Roman" w:cs="Times New Roman"/>
        </w:rPr>
        <w:drawing>
          <wp:inline distT="0" distB="0" distL="114300" distR="114300">
            <wp:extent cx="190500" cy="219710"/>
            <wp:effectExtent l="0" t="0" r="0" b="1016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31"/>
                    <a:stretch>
                      <a:fillRect/>
                    </a:stretch>
                  </pic:blipFill>
                  <pic:spPr>
                    <a:xfrm>
                      <a:off x="0" y="0"/>
                      <a:ext cx="190500" cy="219710"/>
                    </a:xfrm>
                    <a:prstGeom prst="rect">
                      <a:avLst/>
                    </a:prstGeom>
                    <a:noFill/>
                    <a:ln>
                      <a:noFill/>
                    </a:ln>
                  </pic:spPr>
                </pic:pic>
              </a:graphicData>
            </a:graphic>
          </wp:inline>
        </w:drawing>
      </w:r>
      <w:r>
        <w:rPr>
          <w:rFonts w:hint="default" w:ascii="Times New Roman" w:hAnsi="Times New Roman" w:cs="Times New Roman"/>
        </w:rPr>
        <w:t>为总得分的方差。</w:t>
      </w:r>
    </w:p>
    <w:p>
      <w:pPr>
        <w:ind w:firstLine="640"/>
        <w:rPr>
          <w:rFonts w:hint="default" w:ascii="Times New Roman" w:hAnsi="Times New Roman" w:cs="Times New Roman"/>
        </w:rPr>
      </w:pPr>
      <w:r>
        <w:rPr>
          <w:rFonts w:hint="default" w:ascii="Times New Roman" w:hAnsi="Times New Roman" w:cs="Times New Roman"/>
        </w:rPr>
        <w:t>通常，克朗巴哈系数的值在0和1之间。通常情况下，信度系数在0.9以上，则认为量表的内在信度高；信度系数在0.8～0.9之间，则表示量表信度较高；信度系数在0.7～0.8之间，表示量表具有相当的信度；信度系数不超过0.7，一般认为内部一致信度不足。</w:t>
      </w:r>
    </w:p>
    <w:p>
      <w:pPr>
        <w:ind w:firstLine="640"/>
        <w:rPr>
          <w:rFonts w:hint="default" w:ascii="Times New Roman" w:hAnsi="Times New Roman" w:cs="Times New Roman"/>
        </w:rPr>
      </w:pPr>
      <w:r>
        <w:rPr>
          <w:rFonts w:hint="default" w:ascii="Times New Roman" w:hAnsi="Times New Roman" w:cs="Times New Roman"/>
        </w:rPr>
        <w:t>②效度分析</w:t>
      </w:r>
    </w:p>
    <w:p>
      <w:pPr>
        <w:ind w:firstLine="640"/>
        <w:rPr>
          <w:rFonts w:hint="default" w:ascii="Times New Roman" w:hAnsi="Times New Roman" w:cs="Times New Roman"/>
        </w:rPr>
      </w:pPr>
      <w:r>
        <w:rPr>
          <w:rFonts w:hint="default" w:ascii="Times New Roman" w:hAnsi="Times New Roman" w:cs="Times New Roman"/>
        </w:rPr>
        <w:t>效度（Validity）用于评价量表的准确度、有效性和正确性，即检验问卷是否能简洁、准确地描述抽样数据的属性和特征以及它们之间的复杂关系。本次问卷调查运用相关系数来估算满意度问题的信度。其计算公式为：</w:t>
      </w:r>
    </w:p>
    <w:p>
      <w:pPr>
        <w:ind w:firstLine="640"/>
        <w:rPr>
          <w:rFonts w:hint="default" w:ascii="Times New Roman" w:hAnsi="Times New Roman" w:cs="Times New Roman"/>
        </w:rPr>
      </w:pPr>
      <w:r>
        <w:rPr>
          <w:rFonts w:hint="default" w:ascii="Times New Roman" w:hAnsi="Times New Roman" w:cs="Times New Roman"/>
        </w:rPr>
        <w:drawing>
          <wp:anchor distT="0" distB="0" distL="114300" distR="114300" simplePos="0" relativeHeight="251660288" behindDoc="0" locked="0" layoutInCell="1" allowOverlap="1">
            <wp:simplePos x="0" y="0"/>
            <wp:positionH relativeFrom="margin">
              <wp:posOffset>1971675</wp:posOffset>
            </wp:positionH>
            <wp:positionV relativeFrom="paragraph">
              <wp:posOffset>104775</wp:posOffset>
            </wp:positionV>
            <wp:extent cx="1228725" cy="544830"/>
            <wp:effectExtent l="0" t="0" r="0" b="3175"/>
            <wp:wrapTopAndBottom/>
            <wp:docPr id="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3"/>
                    <pic:cNvPicPr>
                      <a:picLocks noChangeAspect="1"/>
                    </pic:cNvPicPr>
                  </pic:nvPicPr>
                  <pic:blipFill>
                    <a:blip r:embed="rId32"/>
                    <a:stretch>
                      <a:fillRect/>
                    </a:stretch>
                  </pic:blipFill>
                  <pic:spPr>
                    <a:xfrm>
                      <a:off x="0" y="0"/>
                      <a:ext cx="1228725" cy="544830"/>
                    </a:xfrm>
                    <a:prstGeom prst="rect">
                      <a:avLst/>
                    </a:prstGeom>
                    <a:noFill/>
                    <a:ln>
                      <a:noFill/>
                    </a:ln>
                  </pic:spPr>
                </pic:pic>
              </a:graphicData>
            </a:graphic>
          </wp:anchor>
        </w:drawing>
      </w:r>
      <w:r>
        <w:rPr>
          <w:rFonts w:hint="default" w:ascii="Times New Roman" w:hAnsi="Times New Roman" w:cs="Times New Roman"/>
        </w:rPr>
        <w:t>其中，</w:t>
      </w:r>
      <w:r>
        <w:rPr>
          <w:rFonts w:hint="default" w:ascii="Times New Roman" w:hAnsi="Times New Roman" w:cs="Times New Roman"/>
        </w:rPr>
        <w:drawing>
          <wp:inline distT="0" distB="0" distL="114300" distR="114300">
            <wp:extent cx="673735" cy="278765"/>
            <wp:effectExtent l="0" t="0" r="12065" b="0"/>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33"/>
                    <a:stretch>
                      <a:fillRect/>
                    </a:stretch>
                  </pic:blipFill>
                  <pic:spPr>
                    <a:xfrm>
                      <a:off x="0" y="0"/>
                      <a:ext cx="673735" cy="278765"/>
                    </a:xfrm>
                    <a:prstGeom prst="rect">
                      <a:avLst/>
                    </a:prstGeom>
                    <a:noFill/>
                    <a:ln>
                      <a:noFill/>
                    </a:ln>
                  </pic:spPr>
                </pic:pic>
              </a:graphicData>
            </a:graphic>
          </wp:inline>
        </w:drawing>
      </w:r>
      <w:r>
        <w:rPr>
          <w:rFonts w:hint="default" w:ascii="Times New Roman" w:hAnsi="Times New Roman" w:cs="Times New Roman"/>
        </w:rPr>
        <w:t>，表示题目得分偏差；</w:t>
      </w:r>
      <w:r>
        <w:rPr>
          <w:rFonts w:hint="default" w:ascii="Times New Roman" w:hAnsi="Times New Roman" w:cs="Times New Roman"/>
        </w:rPr>
        <w:drawing>
          <wp:inline distT="0" distB="0" distL="114300" distR="114300">
            <wp:extent cx="600075" cy="247650"/>
            <wp:effectExtent l="0" t="0" r="9525" b="12065"/>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34"/>
                    <a:stretch>
                      <a:fillRect/>
                    </a:stretch>
                  </pic:blipFill>
                  <pic:spPr>
                    <a:xfrm>
                      <a:off x="0" y="0"/>
                      <a:ext cx="600075" cy="247650"/>
                    </a:xfrm>
                    <a:prstGeom prst="rect">
                      <a:avLst/>
                    </a:prstGeom>
                    <a:noFill/>
                    <a:ln>
                      <a:noFill/>
                    </a:ln>
                  </pic:spPr>
                </pic:pic>
              </a:graphicData>
            </a:graphic>
          </wp:inline>
        </w:drawing>
      </w:r>
      <w:r>
        <w:rPr>
          <w:rFonts w:hint="default" w:ascii="Times New Roman" w:hAnsi="Times New Roman" w:cs="Times New Roman"/>
        </w:rPr>
        <w:t>，表示问卷得分偏差。</w:t>
      </w:r>
    </w:p>
    <w:p>
      <w:pPr>
        <w:keepNext/>
        <w:keepLines/>
        <w:widowControl w:val="0"/>
        <w:ind w:firstLine="640"/>
        <w:rPr>
          <w:rFonts w:hint="default" w:ascii="Times New Roman" w:hAnsi="Times New Roman" w:eastAsia="楷体_GB2312" w:cs="Times New Roman"/>
          <w:b/>
          <w:szCs w:val="32"/>
          <w:lang w:val="zh-TW" w:eastAsia="zh-TW"/>
        </w:rPr>
      </w:pPr>
      <w:r>
        <w:rPr>
          <w:rFonts w:hint="default" w:ascii="Times New Roman" w:hAnsi="Times New Roman" w:cs="Times New Roman"/>
        </w:rPr>
        <w:t>通常，相关系数的值介于</w:t>
      </w:r>
      <w:r>
        <w:rPr>
          <w:rFonts w:hint="default" w:ascii="Times New Roman" w:hAnsi="Times New Roman" w:eastAsia="微软雅黑" w:cs="Times New Roman"/>
        </w:rPr>
        <w:t>–</w:t>
      </w:r>
      <w:r>
        <w:rPr>
          <w:rFonts w:hint="default" w:ascii="Times New Roman" w:hAnsi="Times New Roman" w:cs="Times New Roman"/>
        </w:rPr>
        <w:t>1与+1之间。</w:t>
      </w:r>
    </w:p>
    <w:bookmarkEnd w:id="59"/>
    <w:bookmarkEnd w:id="91"/>
    <w:p>
      <w:pPr>
        <w:pStyle w:val="3"/>
        <w:pageBreakBefore w:val="0"/>
        <w:widowControl w:val="0"/>
        <w:kinsoku/>
        <w:wordWrap/>
        <w:overflowPunct/>
        <w:topLinePunct w:val="0"/>
        <w:autoSpaceDE/>
        <w:autoSpaceDN/>
        <w:bidi w:val="0"/>
        <w:adjustRightInd/>
        <w:snapToGrid/>
        <w:ind w:firstLine="640"/>
        <w:jc w:val="both"/>
        <w:textAlignment w:val="auto"/>
        <w:rPr>
          <w:rFonts w:hint="default" w:ascii="Times New Roman" w:hAnsi="Times New Roman" w:cs="Times New Roman"/>
          <w:bCs w:val="0"/>
          <w:szCs w:val="32"/>
        </w:rPr>
      </w:pPr>
      <w:bookmarkStart w:id="92" w:name="_Toc23648"/>
      <w:bookmarkStart w:id="93" w:name="_Toc91522494"/>
      <w:bookmarkStart w:id="94" w:name="_Toc3995765"/>
      <w:bookmarkStart w:id="95" w:name="_Toc36831741"/>
      <w:r>
        <w:rPr>
          <w:rFonts w:hint="default" w:ascii="Times New Roman" w:hAnsi="Times New Roman" w:cs="Times New Roman"/>
          <w:bCs w:val="0"/>
          <w:szCs w:val="32"/>
        </w:rPr>
        <w:t>三、</w:t>
      </w:r>
      <w:bookmarkEnd w:id="92"/>
      <w:r>
        <w:rPr>
          <w:rFonts w:hint="default" w:ascii="Times New Roman" w:hAnsi="Times New Roman" w:cs="Times New Roman"/>
          <w:bCs w:val="0"/>
          <w:szCs w:val="32"/>
        </w:rPr>
        <w:t>综合评价情况及评价结论</w:t>
      </w:r>
      <w:bookmarkEnd w:id="93"/>
    </w:p>
    <w:p>
      <w:pPr>
        <w:pStyle w:val="158"/>
        <w:keepNext/>
        <w:keepLines/>
        <w:pageBreakBefore w:val="0"/>
        <w:widowControl w:val="0"/>
        <w:kinsoku/>
        <w:wordWrap/>
        <w:overflowPunct/>
        <w:topLinePunct w:val="0"/>
        <w:autoSpaceDE/>
        <w:autoSpaceDN/>
        <w:bidi w:val="0"/>
        <w:adjustRightInd/>
        <w:snapToGrid/>
        <w:spacing w:before="0" w:after="0" w:line="560" w:lineRule="exact"/>
        <w:ind w:firstLine="643"/>
        <w:jc w:val="both"/>
        <w:textAlignment w:val="auto"/>
        <w:rPr>
          <w:rFonts w:hint="default" w:ascii="Times New Roman" w:hAnsi="Times New Roman" w:eastAsia="楷体_GB2312" w:cs="Times New Roman"/>
          <w:bCs w:val="0"/>
          <w:sz w:val="32"/>
          <w:szCs w:val="32"/>
        </w:rPr>
      </w:pPr>
      <w:bookmarkStart w:id="96" w:name="_Toc31123"/>
      <w:bookmarkStart w:id="97" w:name="_Toc91522495"/>
      <w:r>
        <w:rPr>
          <w:rFonts w:hint="default" w:ascii="Times New Roman" w:hAnsi="Times New Roman" w:eastAsia="楷体_GB2312" w:cs="Times New Roman"/>
          <w:bCs w:val="0"/>
          <w:sz w:val="32"/>
          <w:szCs w:val="32"/>
          <w:lang w:val="zh-TW" w:eastAsia="zh-TW"/>
        </w:rPr>
        <w:t>（一）</w:t>
      </w:r>
      <w:bookmarkEnd w:id="96"/>
      <w:r>
        <w:rPr>
          <w:rFonts w:hint="default" w:ascii="Times New Roman" w:hAnsi="Times New Roman" w:eastAsia="楷体_GB2312" w:cs="Times New Roman"/>
          <w:bCs w:val="0"/>
          <w:sz w:val="32"/>
          <w:szCs w:val="32"/>
        </w:rPr>
        <w:t>综合评价情况</w:t>
      </w:r>
      <w:bookmarkEnd w:id="97"/>
    </w:p>
    <w:p>
      <w:pPr>
        <w:pageBreakBefore w:val="0"/>
        <w:widowControl w:val="0"/>
        <w:kinsoku/>
        <w:wordWrap/>
        <w:overflowPunct/>
        <w:topLinePunct w:val="0"/>
        <w:autoSpaceDE/>
        <w:autoSpaceDN/>
        <w:bidi w:val="0"/>
        <w:adjustRightInd/>
        <w:snapToGrid/>
        <w:ind w:firstLine="640"/>
        <w:jc w:val="both"/>
        <w:textAlignment w:val="auto"/>
        <w:rPr>
          <w:rFonts w:hint="default" w:ascii="Times New Roman" w:hAnsi="Times New Roman" w:cs="Times New Roman"/>
          <w:kern w:val="2"/>
          <w:lang w:bidi="ar"/>
        </w:rPr>
      </w:pPr>
      <w:bookmarkStart w:id="98" w:name="_Toc9896"/>
      <w:bookmarkStart w:id="99" w:name="_Toc91522496"/>
      <w:r>
        <w:rPr>
          <w:rFonts w:hint="default" w:ascii="Times New Roman" w:hAnsi="Times New Roman" w:cs="Times New Roman"/>
          <w:kern w:val="2"/>
          <w:lang w:bidi="ar"/>
        </w:rPr>
        <w:t>2022年，新乡市河渠社会化养护项目6家养护单位完成7个河段的社会化养护工作，年度内绿地养护面积41.2万㎡；水面养护面积43.4</w:t>
      </w:r>
      <w:r>
        <w:rPr>
          <w:rFonts w:hint="default" w:ascii="Times New Roman" w:hAnsi="Times New Roman" w:cs="Times New Roman"/>
          <w:kern w:val="2"/>
          <w:lang w:val="en-US" w:eastAsia="zh-CN" w:bidi="ar"/>
        </w:rPr>
        <w:t>3</w:t>
      </w:r>
      <w:r>
        <w:rPr>
          <w:rFonts w:hint="default" w:ascii="Times New Roman" w:hAnsi="Times New Roman" w:cs="Times New Roman"/>
          <w:kern w:val="2"/>
          <w:lang w:bidi="ar"/>
        </w:rPr>
        <w:t>万㎡。项目的实施有效提升了沿河两岸的环境卫生质量，人居环境明显改善。</w:t>
      </w:r>
    </w:p>
    <w:p>
      <w:pPr>
        <w:widowControl w:val="0"/>
        <w:ind w:firstLine="640"/>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但项目在实施中还</w:t>
      </w:r>
      <w:r>
        <w:rPr>
          <w:rFonts w:hint="default" w:ascii="Times New Roman" w:hAnsi="Times New Roman" w:cs="Times New Roman"/>
          <w:kern w:val="2"/>
          <w:highlight w:val="none"/>
          <w:lang w:eastAsia="zh-CN" w:bidi="ar"/>
        </w:rPr>
        <w:t>存在</w:t>
      </w:r>
      <w:r>
        <w:rPr>
          <w:rFonts w:hint="default" w:ascii="Times New Roman" w:hAnsi="Times New Roman" w:cs="Times New Roman"/>
          <w:kern w:val="2"/>
          <w:highlight w:val="none"/>
          <w:lang w:val="en-US" w:eastAsia="zh-CN" w:bidi="ar"/>
        </w:rPr>
        <w:t>预算依据不合理</w:t>
      </w:r>
      <w:r>
        <w:rPr>
          <w:rFonts w:hint="default" w:ascii="Times New Roman" w:hAnsi="Times New Roman" w:cs="Times New Roman"/>
          <w:kern w:val="2"/>
          <w:highlight w:val="none"/>
          <w:lang w:bidi="ar"/>
        </w:rPr>
        <w:t>、月评比及考核验收不严谨、绩效目标填写不</w:t>
      </w:r>
      <w:r>
        <w:rPr>
          <w:rFonts w:hint="default" w:ascii="Times New Roman" w:hAnsi="Times New Roman" w:cs="Times New Roman"/>
          <w:kern w:val="2"/>
          <w:highlight w:val="none"/>
          <w:lang w:val="en-US" w:eastAsia="zh-CN" w:bidi="ar"/>
        </w:rPr>
        <w:t>规范</w:t>
      </w:r>
      <w:r>
        <w:rPr>
          <w:rFonts w:hint="default" w:ascii="Times New Roman" w:hAnsi="Times New Roman" w:cs="Times New Roman"/>
          <w:kern w:val="2"/>
          <w:highlight w:val="none"/>
          <w:lang w:bidi="ar"/>
        </w:rPr>
        <w:t>、中长期规划缺失等问题。</w:t>
      </w:r>
    </w:p>
    <w:p>
      <w:pPr>
        <w:pStyle w:val="158"/>
        <w:keepNext/>
        <w:keepLines/>
        <w:pageBreakBefore w:val="0"/>
        <w:widowControl w:val="0"/>
        <w:numPr>
          <w:ilvl w:val="0"/>
          <w:numId w:val="1"/>
        </w:numPr>
        <w:kinsoku/>
        <w:wordWrap/>
        <w:overflowPunct/>
        <w:topLinePunct w:val="0"/>
        <w:autoSpaceDE/>
        <w:autoSpaceDN/>
        <w:bidi w:val="0"/>
        <w:adjustRightInd/>
        <w:snapToGrid/>
        <w:spacing w:before="0" w:after="0" w:line="560" w:lineRule="exact"/>
        <w:ind w:firstLine="643"/>
        <w:jc w:val="both"/>
        <w:textAlignment w:val="auto"/>
        <w:rPr>
          <w:rFonts w:hint="default" w:ascii="Times New Roman" w:hAnsi="Times New Roman" w:eastAsia="楷体_GB2312" w:cs="Times New Roman"/>
          <w:bCs w:val="0"/>
          <w:sz w:val="32"/>
          <w:szCs w:val="32"/>
        </w:rPr>
      </w:pPr>
      <w:r>
        <w:rPr>
          <w:rFonts w:hint="default" w:ascii="Times New Roman" w:hAnsi="Times New Roman" w:eastAsia="楷体_GB2312" w:cs="Times New Roman"/>
          <w:bCs w:val="0"/>
          <w:sz w:val="32"/>
          <w:szCs w:val="32"/>
        </w:rPr>
        <w:t>评价</w:t>
      </w:r>
      <w:bookmarkEnd w:id="98"/>
      <w:r>
        <w:rPr>
          <w:rFonts w:hint="default" w:ascii="Times New Roman" w:hAnsi="Times New Roman" w:eastAsia="楷体_GB2312" w:cs="Times New Roman"/>
          <w:bCs w:val="0"/>
          <w:sz w:val="32"/>
          <w:szCs w:val="32"/>
        </w:rPr>
        <w:t>结论</w:t>
      </w:r>
      <w:bookmarkEnd w:id="99"/>
    </w:p>
    <w:p>
      <w:pPr>
        <w:pageBreakBefore w:val="0"/>
        <w:kinsoku/>
        <w:wordWrap/>
        <w:overflowPunct/>
        <w:topLinePunct w:val="0"/>
        <w:autoSpaceDE/>
        <w:autoSpaceDN/>
        <w:bidi w:val="0"/>
        <w:adjustRightInd/>
        <w:snapToGrid/>
        <w:ind w:firstLine="640"/>
        <w:jc w:val="both"/>
        <w:textAlignment w:val="auto"/>
        <w:rPr>
          <w:rFonts w:hint="default" w:ascii="Times New Roman" w:hAnsi="Times New Roman" w:cs="Times New Roman"/>
        </w:rPr>
      </w:pPr>
      <w:r>
        <w:rPr>
          <w:rFonts w:hint="default" w:ascii="Times New Roman" w:hAnsi="Times New Roman" w:cs="Times New Roman"/>
        </w:rPr>
        <w:t>运用由项目组设计并通过专家组论证的评价指标体系及评分标准，通过数据采集、访谈、以及问卷调查，对2022年新乡市市区河渠社会化养护项目绩效进行客观评价。最终评分结果：总得分为</w:t>
      </w:r>
      <w:r>
        <w:rPr>
          <w:rFonts w:hint="default" w:ascii="Times New Roman" w:hAnsi="Times New Roman" w:cs="Times New Roman"/>
          <w:b/>
          <w:bCs/>
          <w:lang w:val="en-US" w:eastAsia="zh-CN"/>
        </w:rPr>
        <w:t>85.25</w:t>
      </w:r>
      <w:r>
        <w:rPr>
          <w:rFonts w:hint="default" w:ascii="Times New Roman" w:hAnsi="Times New Roman" w:cs="Times New Roman"/>
        </w:rPr>
        <w:t>分，按照绩效评级标准，评价等级为“</w:t>
      </w:r>
      <w:r>
        <w:rPr>
          <w:rFonts w:hint="default" w:ascii="Times New Roman" w:hAnsi="Times New Roman" w:cs="Times New Roman"/>
          <w:b/>
          <w:bCs/>
          <w:lang w:val="en-US" w:eastAsia="zh-CN"/>
        </w:rPr>
        <w:t>良</w:t>
      </w:r>
      <w:r>
        <w:rPr>
          <w:rFonts w:hint="default" w:ascii="Times New Roman" w:hAnsi="Times New Roman" w:cs="Times New Roman"/>
        </w:rPr>
        <w:t>”。其中“决策”类指标权重分为15分，得分</w:t>
      </w:r>
      <w:r>
        <w:rPr>
          <w:rFonts w:hint="default" w:ascii="Times New Roman" w:hAnsi="Times New Roman" w:cs="Times New Roman"/>
          <w:lang w:val="en-US" w:eastAsia="zh-CN"/>
        </w:rPr>
        <w:t>12.5</w:t>
      </w:r>
      <w:r>
        <w:rPr>
          <w:rFonts w:hint="default" w:ascii="Times New Roman" w:hAnsi="Times New Roman" w:cs="Times New Roman"/>
        </w:rPr>
        <w:t>分，得分率为</w:t>
      </w:r>
      <w:r>
        <w:rPr>
          <w:rFonts w:hint="default" w:ascii="Times New Roman" w:hAnsi="Times New Roman" w:cs="Times New Roman"/>
          <w:lang w:val="en-US" w:eastAsia="zh-CN"/>
        </w:rPr>
        <w:t>83.33</w:t>
      </w:r>
      <w:r>
        <w:rPr>
          <w:rFonts w:hint="default" w:ascii="Times New Roman" w:hAnsi="Times New Roman" w:cs="Times New Roman"/>
        </w:rPr>
        <w:t>%;“过程”类指标权重分为25分，得分</w:t>
      </w:r>
      <w:r>
        <w:rPr>
          <w:rFonts w:hint="default" w:ascii="Times New Roman" w:hAnsi="Times New Roman" w:cs="Times New Roman"/>
          <w:lang w:val="en-US" w:eastAsia="zh-CN"/>
        </w:rPr>
        <w:t>21</w:t>
      </w:r>
      <w:r>
        <w:rPr>
          <w:rFonts w:hint="default" w:ascii="Times New Roman" w:hAnsi="Times New Roman" w:cs="Times New Roman"/>
        </w:rPr>
        <w:t>分，得分率为</w:t>
      </w:r>
      <w:r>
        <w:rPr>
          <w:rFonts w:hint="default" w:ascii="Times New Roman" w:hAnsi="Times New Roman" w:cs="Times New Roman"/>
          <w:lang w:val="en-US" w:eastAsia="zh-CN"/>
        </w:rPr>
        <w:t>84</w:t>
      </w:r>
      <w:r>
        <w:rPr>
          <w:rFonts w:hint="default" w:ascii="Times New Roman" w:hAnsi="Times New Roman" w:cs="Times New Roman"/>
        </w:rPr>
        <w:t>%</w:t>
      </w:r>
      <w:r>
        <w:rPr>
          <w:rFonts w:hint="default" w:ascii="Times New Roman" w:hAnsi="Times New Roman" w:cs="Times New Roman"/>
          <w:lang w:eastAsia="zh-CN"/>
        </w:rPr>
        <w:t>；</w:t>
      </w:r>
      <w:r>
        <w:rPr>
          <w:rFonts w:hint="default" w:ascii="Times New Roman" w:hAnsi="Times New Roman" w:cs="Times New Roman"/>
        </w:rPr>
        <w:t>“产出”类指标权重分为30分，得分</w:t>
      </w:r>
      <w:r>
        <w:rPr>
          <w:rFonts w:hint="default" w:ascii="Times New Roman" w:hAnsi="Times New Roman" w:cs="Times New Roman"/>
          <w:lang w:val="en-US" w:eastAsia="zh-CN"/>
        </w:rPr>
        <w:t>26</w:t>
      </w:r>
      <w:r>
        <w:rPr>
          <w:rFonts w:hint="default" w:ascii="Times New Roman" w:hAnsi="Times New Roman" w:cs="Times New Roman"/>
        </w:rPr>
        <w:t>分，得分率为</w:t>
      </w:r>
      <w:r>
        <w:rPr>
          <w:rFonts w:hint="default" w:ascii="Times New Roman" w:hAnsi="Times New Roman" w:cs="Times New Roman"/>
          <w:lang w:val="en-US" w:eastAsia="zh-CN"/>
        </w:rPr>
        <w:t>86.67</w:t>
      </w:r>
      <w:r>
        <w:rPr>
          <w:rFonts w:hint="default" w:ascii="Times New Roman" w:hAnsi="Times New Roman" w:cs="Times New Roman"/>
        </w:rPr>
        <w:t>%；“效益”指标权重分为30分，得分2</w:t>
      </w:r>
      <w:r>
        <w:rPr>
          <w:rFonts w:hint="default" w:ascii="Times New Roman" w:hAnsi="Times New Roman" w:cs="Times New Roman"/>
          <w:lang w:val="en-US" w:eastAsia="zh-CN"/>
        </w:rPr>
        <w:t>5</w:t>
      </w:r>
      <w:r>
        <w:rPr>
          <w:rFonts w:hint="default" w:ascii="Times New Roman" w:hAnsi="Times New Roman" w:cs="Times New Roman"/>
        </w:rPr>
        <w:t>.75分，得分率为</w:t>
      </w:r>
      <w:r>
        <w:rPr>
          <w:rFonts w:hint="default" w:ascii="Times New Roman" w:hAnsi="Times New Roman" w:cs="Times New Roman"/>
          <w:lang w:val="en-US" w:eastAsia="zh-CN"/>
        </w:rPr>
        <w:t>85.83</w:t>
      </w:r>
      <w:r>
        <w:rPr>
          <w:rFonts w:hint="default" w:ascii="Times New Roman" w:hAnsi="Times New Roman" w:cs="Times New Roman"/>
        </w:rPr>
        <w:t>%。绩效评价指标得扣分情况详见下图：</w:t>
      </w:r>
    </w:p>
    <w:p>
      <w:pPr>
        <w:pStyle w:val="16"/>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hint="default" w:ascii="Times New Roman" w:hAnsi="Times New Roman" w:cs="Times New Roman"/>
        </w:rPr>
      </w:pPr>
      <w:r>
        <w:rPr>
          <w:rFonts w:hint="default" w:ascii="Times New Roman" w:hAnsi="Times New Roman" w:cs="Times New Roman"/>
        </w:rPr>
        <w:drawing>
          <wp:inline distT="0" distB="0" distL="114300" distR="114300">
            <wp:extent cx="5273675" cy="2776220"/>
            <wp:effectExtent l="4445" t="4445" r="17780" b="1968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pPr>
        <w:pStyle w:val="204"/>
        <w:keepNext w:val="0"/>
        <w:keepLines w:val="0"/>
        <w:pageBreakBefore w:val="0"/>
        <w:widowControl/>
        <w:kinsoku/>
        <w:wordWrap/>
        <w:overflowPunct/>
        <w:topLinePunct w:val="0"/>
        <w:autoSpaceDE/>
        <w:autoSpaceDN/>
        <w:bidi w:val="0"/>
        <w:adjustRightInd/>
        <w:snapToGrid/>
        <w:textAlignment w:val="auto"/>
        <w:rPr>
          <w:rFonts w:hint="default" w:ascii="Times New Roman" w:hAnsi="Times New Roman" w:cs="Times New Roman"/>
        </w:rPr>
      </w:pPr>
      <w:r>
        <w:rPr>
          <w:rStyle w:val="218"/>
          <w:rFonts w:hint="default" w:ascii="Times New Roman" w:hAnsi="Times New Roman" w:cs="Times New Roman"/>
          <w:sz w:val="28"/>
          <w:szCs w:val="28"/>
        </w:rPr>
        <w:t>图3-1：一级指标得扣分情况图</w:t>
      </w:r>
    </w:p>
    <w:p>
      <w:pPr>
        <w:pStyle w:val="3"/>
        <w:widowControl w:val="0"/>
        <w:ind w:firstLine="640"/>
        <w:rPr>
          <w:rFonts w:hint="default" w:ascii="Times New Roman" w:hAnsi="Times New Roman" w:cs="Times New Roman"/>
          <w:b/>
          <w:szCs w:val="32"/>
        </w:rPr>
      </w:pPr>
      <w:bookmarkStart w:id="100" w:name="_Toc14794"/>
      <w:bookmarkStart w:id="101" w:name="_Toc91522497"/>
      <w:r>
        <w:rPr>
          <w:rFonts w:hint="default" w:ascii="Times New Roman" w:hAnsi="Times New Roman" w:cs="Times New Roman"/>
          <w:bCs w:val="0"/>
          <w:szCs w:val="32"/>
        </w:rPr>
        <w:t>四、</w:t>
      </w:r>
      <w:bookmarkEnd w:id="100"/>
      <w:r>
        <w:rPr>
          <w:rFonts w:hint="default" w:ascii="Times New Roman" w:hAnsi="Times New Roman" w:cs="Times New Roman"/>
          <w:bCs w:val="0"/>
          <w:szCs w:val="32"/>
        </w:rPr>
        <w:t>绩效评价指标分析</w:t>
      </w:r>
      <w:bookmarkEnd w:id="101"/>
    </w:p>
    <w:p>
      <w:pPr>
        <w:pStyle w:val="158"/>
        <w:widowControl w:val="0"/>
        <w:spacing w:before="0" w:after="0" w:line="560" w:lineRule="exact"/>
        <w:ind w:firstLine="643"/>
        <w:rPr>
          <w:rFonts w:hint="default" w:ascii="Times New Roman" w:hAnsi="Times New Roman" w:eastAsia="楷体_GB2312" w:cs="Times New Roman"/>
          <w:bCs w:val="0"/>
          <w:sz w:val="32"/>
          <w:szCs w:val="32"/>
          <w:lang w:val="zh-TW"/>
        </w:rPr>
      </w:pPr>
      <w:bookmarkStart w:id="102" w:name="_Toc20075"/>
      <w:bookmarkStart w:id="103" w:name="_Toc91522498"/>
      <w:r>
        <w:rPr>
          <w:rFonts w:hint="default" w:ascii="Times New Roman" w:hAnsi="Times New Roman" w:eastAsia="楷体_GB2312" w:cs="Times New Roman"/>
          <w:bCs w:val="0"/>
          <w:sz w:val="32"/>
          <w:szCs w:val="32"/>
          <w:lang w:val="zh-TW" w:eastAsia="zh-TW"/>
        </w:rPr>
        <w:t>（</w:t>
      </w:r>
      <w:r>
        <w:rPr>
          <w:rFonts w:hint="default" w:ascii="Times New Roman" w:hAnsi="Times New Roman" w:eastAsia="楷体_GB2312" w:cs="Times New Roman"/>
          <w:bCs w:val="0"/>
          <w:sz w:val="32"/>
          <w:szCs w:val="32"/>
        </w:rPr>
        <w:t>一</w:t>
      </w:r>
      <w:r>
        <w:rPr>
          <w:rFonts w:hint="default" w:ascii="Times New Roman" w:hAnsi="Times New Roman" w:eastAsia="楷体_GB2312" w:cs="Times New Roman"/>
          <w:bCs w:val="0"/>
          <w:sz w:val="32"/>
          <w:szCs w:val="32"/>
          <w:lang w:val="zh-TW" w:eastAsia="zh-TW"/>
        </w:rPr>
        <w:t>）</w:t>
      </w:r>
      <w:bookmarkEnd w:id="102"/>
      <w:r>
        <w:rPr>
          <w:rFonts w:hint="default" w:ascii="Times New Roman" w:hAnsi="Times New Roman" w:eastAsia="楷体_GB2312" w:cs="Times New Roman"/>
          <w:bCs w:val="0"/>
          <w:sz w:val="32"/>
          <w:szCs w:val="32"/>
        </w:rPr>
        <w:t>项目决策情况</w:t>
      </w:r>
      <w:bookmarkEnd w:id="103"/>
    </w:p>
    <w:p>
      <w:pPr>
        <w:widowControl w:val="0"/>
        <w:adjustRightInd w:val="0"/>
        <w:snapToGrid w:val="0"/>
        <w:ind w:firstLine="640"/>
        <w:rPr>
          <w:rFonts w:hint="default" w:ascii="Times New Roman" w:hAnsi="Times New Roman" w:cs="Times New Roman"/>
          <w:color w:val="000000"/>
          <w:szCs w:val="28"/>
          <w:highlight w:val="green"/>
        </w:rPr>
      </w:pPr>
      <w:r>
        <w:rPr>
          <w:rFonts w:hint="default" w:ascii="Times New Roman" w:hAnsi="Times New Roman" w:cs="Times New Roman"/>
          <w:szCs w:val="32"/>
        </w:rPr>
        <w:t>项目决策从项目立项、项目目标和资金投入三方面来评价。项目决策类指标包括3个二级指标，5个三级指标权重分值15分，实际得分</w:t>
      </w:r>
      <w:r>
        <w:rPr>
          <w:rFonts w:hint="default" w:ascii="Times New Roman" w:hAnsi="Times New Roman" w:cs="Times New Roman"/>
          <w:szCs w:val="32"/>
          <w:lang w:val="en-US" w:eastAsia="zh-CN"/>
        </w:rPr>
        <w:t>12.5</w:t>
      </w:r>
      <w:r>
        <w:rPr>
          <w:rFonts w:hint="default" w:ascii="Times New Roman" w:hAnsi="Times New Roman" w:cs="Times New Roman"/>
          <w:szCs w:val="32"/>
        </w:rPr>
        <w:t>分。各指标得分情况如下：</w:t>
      </w:r>
    </w:p>
    <w:p>
      <w:pPr>
        <w:pStyle w:val="204"/>
        <w:spacing w:line="560" w:lineRule="exact"/>
        <w:rPr>
          <w:rFonts w:hint="default" w:ascii="Times New Roman" w:hAnsi="Times New Roman" w:cs="Times New Roman"/>
        </w:rPr>
      </w:pPr>
      <w:r>
        <w:rPr>
          <w:rFonts w:hint="default" w:ascii="Times New Roman" w:hAnsi="Times New Roman" w:cs="Times New Roman"/>
        </w:rPr>
        <w:t>表4-1：决策类指标评分汇总表</w:t>
      </w:r>
    </w:p>
    <w:tbl>
      <w:tblPr>
        <w:tblStyle w:val="37"/>
        <w:tblW w:w="4998" w:type="pct"/>
        <w:tblInd w:w="0" w:type="dxa"/>
        <w:tblLayout w:type="autofit"/>
        <w:tblCellMar>
          <w:top w:w="0" w:type="dxa"/>
          <w:left w:w="108" w:type="dxa"/>
          <w:bottom w:w="0" w:type="dxa"/>
          <w:right w:w="108" w:type="dxa"/>
        </w:tblCellMar>
      </w:tblPr>
      <w:tblGrid>
        <w:gridCol w:w="1726"/>
        <w:gridCol w:w="1786"/>
        <w:gridCol w:w="2607"/>
        <w:gridCol w:w="1273"/>
        <w:gridCol w:w="1127"/>
      </w:tblGrid>
      <w:tr>
        <w:tblPrEx>
          <w:tblCellMar>
            <w:top w:w="0" w:type="dxa"/>
            <w:left w:w="108" w:type="dxa"/>
            <w:bottom w:w="0" w:type="dxa"/>
            <w:right w:w="108" w:type="dxa"/>
          </w:tblCellMar>
        </w:tblPrEx>
        <w:trPr>
          <w:trHeight w:val="450" w:hRule="atLeast"/>
          <w:tblHeader/>
        </w:trPr>
        <w:tc>
          <w:tcPr>
            <w:tcW w:w="1013"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一级指标</w:t>
            </w:r>
          </w:p>
        </w:tc>
        <w:tc>
          <w:tcPr>
            <w:tcW w:w="1048"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二级指标</w:t>
            </w:r>
          </w:p>
        </w:tc>
        <w:tc>
          <w:tcPr>
            <w:tcW w:w="1530"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三级指标</w:t>
            </w:r>
          </w:p>
        </w:tc>
        <w:tc>
          <w:tcPr>
            <w:tcW w:w="747"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lang w:bidi="ar"/>
              </w:rPr>
              <w:t>权重</w:t>
            </w:r>
          </w:p>
        </w:tc>
        <w:tc>
          <w:tcPr>
            <w:tcW w:w="661"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得分</w:t>
            </w:r>
          </w:p>
        </w:tc>
      </w:tr>
      <w:tr>
        <w:tblPrEx>
          <w:tblCellMar>
            <w:top w:w="0" w:type="dxa"/>
            <w:left w:w="108" w:type="dxa"/>
            <w:bottom w:w="0" w:type="dxa"/>
            <w:right w:w="108" w:type="dxa"/>
          </w:tblCellMar>
        </w:tblPrEx>
        <w:trPr>
          <w:trHeight w:val="408" w:hRule="atLeast"/>
        </w:trPr>
        <w:tc>
          <w:tcPr>
            <w:tcW w:w="101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A决策（15）</w:t>
            </w:r>
          </w:p>
        </w:tc>
        <w:tc>
          <w:tcPr>
            <w:tcW w:w="10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A1项目立项</w:t>
            </w:r>
          </w:p>
        </w:tc>
        <w:tc>
          <w:tcPr>
            <w:tcW w:w="153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A11立项依据充分性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409" w:hRule="atLeast"/>
        </w:trPr>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53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A12立项程序规范性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448" w:hRule="atLeast"/>
        </w:trPr>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A2项目目标</w:t>
            </w:r>
          </w:p>
        </w:tc>
        <w:tc>
          <w:tcPr>
            <w:tcW w:w="153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A21绩效目标合理性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2.25</w:t>
            </w:r>
          </w:p>
        </w:tc>
      </w:tr>
      <w:tr>
        <w:tblPrEx>
          <w:tblCellMar>
            <w:top w:w="0" w:type="dxa"/>
            <w:left w:w="108" w:type="dxa"/>
            <w:bottom w:w="0" w:type="dxa"/>
            <w:right w:w="108" w:type="dxa"/>
          </w:tblCellMar>
        </w:tblPrEx>
        <w:trPr>
          <w:trHeight w:val="448" w:hRule="atLeast"/>
        </w:trPr>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53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A22绩效指标明确性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2.25</w:t>
            </w:r>
          </w:p>
        </w:tc>
      </w:tr>
      <w:tr>
        <w:tblPrEx>
          <w:tblCellMar>
            <w:top w:w="0" w:type="dxa"/>
            <w:left w:w="108" w:type="dxa"/>
            <w:bottom w:w="0" w:type="dxa"/>
            <w:right w:w="108" w:type="dxa"/>
          </w:tblCellMar>
        </w:tblPrEx>
        <w:trPr>
          <w:trHeight w:val="472" w:hRule="atLeast"/>
        </w:trPr>
        <w:tc>
          <w:tcPr>
            <w:tcW w:w="101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4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A3资金投入</w:t>
            </w:r>
          </w:p>
        </w:tc>
        <w:tc>
          <w:tcPr>
            <w:tcW w:w="153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A31预算编制合理性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410" w:hRule="atLeast"/>
        </w:trPr>
        <w:tc>
          <w:tcPr>
            <w:tcW w:w="35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b/>
                <w:bCs/>
                <w:color w:val="000000"/>
                <w:sz w:val="24"/>
                <w:szCs w:val="24"/>
              </w:rPr>
              <w:t>A类指标合计</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15</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12.5</w:t>
            </w:r>
          </w:p>
        </w:tc>
      </w:tr>
    </w:tbl>
    <w:p>
      <w:pPr>
        <w:keepNext/>
        <w:keepLines/>
        <w:ind w:firstLine="643"/>
        <w:outlineLvl w:val="2"/>
        <w:rPr>
          <w:rFonts w:hint="default" w:ascii="Times New Roman" w:hAnsi="Times New Roman" w:cs="Times New Roman"/>
        </w:rPr>
      </w:pPr>
      <w:r>
        <w:rPr>
          <w:rFonts w:hint="default" w:ascii="Times New Roman" w:hAnsi="Times New Roman" w:cs="Times New Roman"/>
          <w:b/>
          <w:bCs/>
        </w:rPr>
        <w:t>1.项目立项</w:t>
      </w:r>
    </w:p>
    <w:p>
      <w:pPr>
        <w:ind w:firstLine="643"/>
        <w:rPr>
          <w:rFonts w:hint="default" w:ascii="Times New Roman" w:hAnsi="Times New Roman" w:cs="Times New Roman"/>
        </w:rPr>
      </w:pPr>
      <w:r>
        <w:rPr>
          <w:rFonts w:hint="default" w:ascii="Times New Roman" w:hAnsi="Times New Roman" w:cs="Times New Roman"/>
          <w:b/>
          <w:bCs/>
        </w:rPr>
        <w:t>“A11立项依据充</w:t>
      </w:r>
      <w:r>
        <w:rPr>
          <w:rFonts w:hint="default" w:ascii="Times New Roman" w:hAnsi="Times New Roman" w:cs="Times New Roman"/>
          <w:b/>
          <w:bCs/>
          <w:highlight w:val="none"/>
        </w:rPr>
        <w:t>分性”</w:t>
      </w:r>
      <w:r>
        <w:rPr>
          <w:rFonts w:hint="default" w:ascii="Times New Roman" w:hAnsi="Times New Roman" w:cs="Times New Roman"/>
          <w:highlight w:val="none"/>
        </w:rPr>
        <w:t>指标权重值2分，评价得分</w:t>
      </w:r>
      <w:r>
        <w:rPr>
          <w:rFonts w:hint="default" w:ascii="Times New Roman" w:hAnsi="Times New Roman" w:cs="Times New Roman"/>
          <w:highlight w:val="none"/>
          <w:lang w:val="en-US" w:eastAsia="zh-CN"/>
        </w:rPr>
        <w:t>2</w:t>
      </w:r>
      <w:r>
        <w:rPr>
          <w:rFonts w:hint="default" w:ascii="Times New Roman" w:hAnsi="Times New Roman" w:cs="Times New Roman"/>
          <w:highlight w:val="none"/>
        </w:rPr>
        <w:t>分。实施城市河流清洁行动计划，优化新乡市河渠环境，是优化营商环境，提升人居环境的重要举措，项目立项符合国家经济发展规划和相关政策，属于部门履职所需，属于公共财政支持范围。依据评分标准，该项指标得2分。</w:t>
      </w:r>
    </w:p>
    <w:p>
      <w:pPr>
        <w:ind w:firstLine="643"/>
        <w:rPr>
          <w:rFonts w:hint="default" w:ascii="Times New Roman" w:hAnsi="Times New Roman" w:cs="Times New Roman"/>
        </w:rPr>
      </w:pPr>
      <w:r>
        <w:rPr>
          <w:rFonts w:hint="default" w:ascii="Times New Roman" w:hAnsi="Times New Roman" w:cs="Times New Roman"/>
          <w:b/>
          <w:bCs/>
        </w:rPr>
        <w:t>“A12立项程序规范性”</w:t>
      </w:r>
      <w:r>
        <w:rPr>
          <w:rFonts w:hint="default" w:ascii="Times New Roman" w:hAnsi="Times New Roman" w:cs="Times New Roman"/>
        </w:rPr>
        <w:t>指标权重值3分，评价得分</w:t>
      </w:r>
      <w:r>
        <w:rPr>
          <w:rFonts w:hint="default" w:ascii="Times New Roman" w:hAnsi="Times New Roman" w:cs="Times New Roman"/>
          <w:lang w:val="en-US" w:eastAsia="zh-CN"/>
        </w:rPr>
        <w:t>3</w:t>
      </w:r>
      <w:r>
        <w:rPr>
          <w:rFonts w:hint="default" w:ascii="Times New Roman" w:hAnsi="Times New Roman" w:cs="Times New Roman"/>
        </w:rPr>
        <w:t>分。项目立项经过乐乐相关部门审批，审批文件、材料符合相关要求，事前经过了必要论证。依据评分标准，该项指标得3分。</w:t>
      </w:r>
    </w:p>
    <w:p>
      <w:pPr>
        <w:keepNext/>
        <w:keepLines/>
        <w:ind w:firstLine="643"/>
        <w:outlineLvl w:val="2"/>
        <w:rPr>
          <w:rFonts w:hint="default" w:ascii="Times New Roman" w:hAnsi="Times New Roman" w:cs="Times New Roman"/>
          <w:b/>
          <w:bCs/>
        </w:rPr>
      </w:pPr>
      <w:r>
        <w:rPr>
          <w:rFonts w:hint="default" w:ascii="Times New Roman" w:hAnsi="Times New Roman" w:cs="Times New Roman"/>
          <w:b/>
          <w:bCs/>
        </w:rPr>
        <w:t>2.绩效目标</w:t>
      </w:r>
    </w:p>
    <w:p>
      <w:pPr>
        <w:ind w:firstLine="643"/>
        <w:rPr>
          <w:rFonts w:hint="default" w:ascii="Times New Roman" w:hAnsi="Times New Roman" w:cs="Times New Roman"/>
        </w:rPr>
      </w:pPr>
      <w:r>
        <w:rPr>
          <w:rFonts w:hint="default" w:ascii="Times New Roman" w:hAnsi="Times New Roman" w:cs="Times New Roman"/>
          <w:b/>
          <w:bCs/>
        </w:rPr>
        <w:t>“A21绩效目标合理性”</w:t>
      </w:r>
      <w:r>
        <w:rPr>
          <w:rFonts w:hint="default" w:ascii="Times New Roman" w:hAnsi="Times New Roman" w:cs="Times New Roman"/>
        </w:rPr>
        <w:t>指标权重值3分，评价得分</w:t>
      </w:r>
      <w:r>
        <w:rPr>
          <w:rFonts w:hint="default" w:ascii="Times New Roman" w:hAnsi="Times New Roman" w:cs="Times New Roman"/>
          <w:lang w:val="en-US" w:eastAsia="zh-CN"/>
        </w:rPr>
        <w:t>2.25</w:t>
      </w:r>
      <w:r>
        <w:rPr>
          <w:rFonts w:hint="default" w:ascii="Times New Roman" w:hAnsi="Times New Roman" w:cs="Times New Roman"/>
        </w:rPr>
        <w:t>分。</w:t>
      </w:r>
      <w:r>
        <w:rPr>
          <w:rFonts w:hint="default" w:ascii="Times New Roman" w:hAnsi="Times New Roman" w:cs="Times New Roman"/>
          <w:color w:val="000000"/>
          <w:szCs w:val="32"/>
        </w:rPr>
        <w:t>根据项目单位提供的绩效目标申报表，本项目绩效目标设置为“确保市区河渠环境优美”目标设置与实际工作内容相关，但项目预期产出和效果不够明确，依据评分标准，该项指标得2.25分。</w:t>
      </w:r>
    </w:p>
    <w:p>
      <w:pPr>
        <w:ind w:firstLine="643"/>
        <w:rPr>
          <w:rFonts w:hint="default" w:ascii="Times New Roman" w:hAnsi="Times New Roman" w:cs="Times New Roman"/>
        </w:rPr>
      </w:pPr>
      <w:r>
        <w:rPr>
          <w:rFonts w:hint="default" w:ascii="Times New Roman" w:hAnsi="Times New Roman" w:cs="Times New Roman"/>
          <w:b/>
          <w:bCs/>
        </w:rPr>
        <w:t>“A22绩效指标明确性”</w:t>
      </w:r>
      <w:r>
        <w:rPr>
          <w:rFonts w:hint="default" w:ascii="Times New Roman" w:hAnsi="Times New Roman" w:cs="Times New Roman"/>
        </w:rPr>
        <w:t>指标权重值3分，评价得分</w:t>
      </w:r>
      <w:r>
        <w:rPr>
          <w:rFonts w:hint="default" w:ascii="Times New Roman" w:hAnsi="Times New Roman" w:cs="Times New Roman"/>
          <w:lang w:val="en-US" w:eastAsia="zh-CN"/>
        </w:rPr>
        <w:t>2.25</w:t>
      </w:r>
      <w:r>
        <w:rPr>
          <w:rFonts w:hint="default" w:ascii="Times New Roman" w:hAnsi="Times New Roman" w:cs="Times New Roman"/>
        </w:rPr>
        <w:t>分。</w:t>
      </w:r>
      <w:r>
        <w:rPr>
          <w:rFonts w:hint="default" w:ascii="Times New Roman" w:hAnsi="Times New Roman" w:cs="Times New Roman"/>
          <w:color w:val="000000"/>
          <w:szCs w:val="32"/>
        </w:rPr>
        <w:t>项目单位将绩效目标细化分解为具体的绩效指标，但数量指标设置为“养护管理绿地面积41.5万㎡”，时效指标设置为“‘数字河管’结案率100%”，数量指标与时效指标不对应。依据评分标准，该项指标得2.25分。</w:t>
      </w:r>
    </w:p>
    <w:p>
      <w:pPr>
        <w:keepNext/>
        <w:keepLines/>
        <w:ind w:firstLine="643"/>
        <w:outlineLvl w:val="2"/>
        <w:rPr>
          <w:rFonts w:hint="default" w:ascii="Times New Roman" w:hAnsi="Times New Roman" w:cs="Times New Roman"/>
        </w:rPr>
      </w:pPr>
      <w:r>
        <w:rPr>
          <w:rFonts w:hint="default" w:ascii="Times New Roman" w:hAnsi="Times New Roman" w:cs="Times New Roman"/>
          <w:b/>
          <w:bCs/>
        </w:rPr>
        <w:t>3.资金投入</w:t>
      </w:r>
    </w:p>
    <w:p>
      <w:pPr>
        <w:ind w:firstLine="643"/>
        <w:rPr>
          <w:rFonts w:hint="default" w:ascii="Times New Roman" w:hAnsi="Times New Roman" w:cs="Times New Roman"/>
        </w:rPr>
      </w:pPr>
      <w:r>
        <w:rPr>
          <w:rFonts w:hint="default" w:ascii="Times New Roman" w:hAnsi="Times New Roman" w:cs="Times New Roman"/>
          <w:b/>
          <w:bCs/>
        </w:rPr>
        <w:t>“A31预算编制合理性”</w:t>
      </w:r>
      <w:r>
        <w:rPr>
          <w:rFonts w:hint="default" w:ascii="Times New Roman" w:hAnsi="Times New Roman" w:cs="Times New Roman"/>
        </w:rPr>
        <w:t>指标权重值4分，评价得分</w:t>
      </w:r>
      <w:r>
        <w:rPr>
          <w:rFonts w:hint="default" w:ascii="Times New Roman" w:hAnsi="Times New Roman" w:cs="Times New Roman"/>
          <w:lang w:val="en-US" w:eastAsia="zh-CN"/>
        </w:rPr>
        <w:t>3</w:t>
      </w:r>
      <w:r>
        <w:rPr>
          <w:rFonts w:hint="default" w:ascii="Times New Roman" w:hAnsi="Times New Roman" w:cs="Times New Roman"/>
        </w:rPr>
        <w:t>分。项目单位依据社会化养护合同中约定的本年应支付金额编制本年度预算金额，预算内容与项目内容匹配，但根据市河渠中心提供的相关合同、批复及测算依据发现，对于岸坡绿化面积，按照新乡市统一的每平方米4元的标准进行测算，同时又按照每6500平方米安排1人进行人员配置。对于水面保洁，按照人员工资、打捞船油费、打捞船购买及养护费等费用，但打捞船的购买经费在合同期内全部摊销完毕不够合理，该项费用不应全部由财政承担。因此，评价小组判断，该项目签订的合同价格不够公允，预算申请的依据不够合理。依据评分标准，该项指标得3分。</w:t>
      </w:r>
    </w:p>
    <w:p>
      <w:pPr>
        <w:pStyle w:val="16"/>
        <w:ind w:left="640" w:leftChars="200" w:firstLine="0" w:firstLineChars="0"/>
        <w:outlineLvl w:val="1"/>
        <w:rPr>
          <w:rFonts w:hint="default" w:ascii="Times New Roman" w:hAnsi="Times New Roman" w:eastAsia="楷体_GB2312" w:cs="Times New Roman"/>
          <w:b/>
          <w:bCs/>
          <w:sz w:val="32"/>
          <w:szCs w:val="32"/>
          <w:lang w:eastAsia="zh-CN"/>
        </w:rPr>
      </w:pPr>
      <w:bookmarkStart w:id="104" w:name="_Toc91522499"/>
      <w:r>
        <w:rPr>
          <w:rFonts w:hint="default" w:ascii="Times New Roman" w:hAnsi="Times New Roman" w:eastAsia="楷体_GB2312" w:cs="Times New Roman"/>
          <w:b/>
          <w:bCs/>
          <w:sz w:val="32"/>
          <w:szCs w:val="32"/>
          <w:lang w:eastAsia="zh-CN"/>
        </w:rPr>
        <w:t>（二）项目过程情况</w:t>
      </w:r>
      <w:bookmarkEnd w:id="104"/>
    </w:p>
    <w:p>
      <w:pPr>
        <w:pStyle w:val="204"/>
        <w:spacing w:line="560" w:lineRule="exact"/>
        <w:ind w:firstLine="640" w:firstLineChars="200"/>
        <w:jc w:val="both"/>
        <w:rPr>
          <w:rFonts w:hint="default" w:ascii="Times New Roman" w:hAnsi="Times New Roman" w:cs="Times New Roman"/>
          <w:b w:val="0"/>
          <w:bCs/>
          <w:sz w:val="32"/>
          <w:szCs w:val="32"/>
        </w:rPr>
      </w:pPr>
      <w:r>
        <w:rPr>
          <w:rFonts w:hint="default" w:ascii="Times New Roman" w:hAnsi="Times New Roman" w:cs="Times New Roman"/>
          <w:b w:val="0"/>
          <w:bCs/>
          <w:sz w:val="32"/>
          <w:szCs w:val="32"/>
        </w:rPr>
        <w:t>项目过程类指标包括2个二级指标，6个三级指标，8个四级指标，权重分25分，实际得分</w:t>
      </w:r>
      <w:r>
        <w:rPr>
          <w:rFonts w:hint="default" w:ascii="Times New Roman" w:hAnsi="Times New Roman" w:cs="Times New Roman"/>
          <w:b w:val="0"/>
          <w:bCs/>
          <w:sz w:val="32"/>
          <w:szCs w:val="32"/>
          <w:lang w:val="en-US" w:eastAsia="zh-CN"/>
        </w:rPr>
        <w:t>21</w:t>
      </w:r>
      <w:r>
        <w:rPr>
          <w:rFonts w:hint="default" w:ascii="Times New Roman" w:hAnsi="Times New Roman" w:cs="Times New Roman"/>
          <w:b w:val="0"/>
          <w:bCs/>
          <w:sz w:val="32"/>
          <w:szCs w:val="32"/>
        </w:rPr>
        <w:t>分。各类指标得分情况下：</w:t>
      </w:r>
    </w:p>
    <w:p>
      <w:pPr>
        <w:ind w:firstLine="0" w:firstLineChars="0"/>
        <w:jc w:val="center"/>
        <w:rPr>
          <w:rFonts w:hint="default" w:ascii="Times New Roman" w:hAnsi="Times New Roman" w:cs="Times New Roman"/>
          <w:b/>
          <w:bCs/>
          <w:sz w:val="28"/>
          <w:szCs w:val="28"/>
        </w:rPr>
      </w:pPr>
      <w:r>
        <w:rPr>
          <w:rFonts w:hint="default" w:ascii="Times New Roman" w:hAnsi="Times New Roman" w:cs="Times New Roman"/>
          <w:b/>
          <w:bCs/>
          <w:sz w:val="28"/>
          <w:szCs w:val="28"/>
        </w:rPr>
        <w:t>表4-2：管理类指标评分汇总表</w:t>
      </w:r>
    </w:p>
    <w:tbl>
      <w:tblPr>
        <w:tblStyle w:val="37"/>
        <w:tblW w:w="4998" w:type="pct"/>
        <w:tblInd w:w="0" w:type="dxa"/>
        <w:tblLayout w:type="autofit"/>
        <w:tblCellMar>
          <w:top w:w="0" w:type="dxa"/>
          <w:left w:w="108" w:type="dxa"/>
          <w:bottom w:w="0" w:type="dxa"/>
          <w:right w:w="108" w:type="dxa"/>
        </w:tblCellMar>
      </w:tblPr>
      <w:tblGrid>
        <w:gridCol w:w="1360"/>
        <w:gridCol w:w="1408"/>
        <w:gridCol w:w="2054"/>
        <w:gridCol w:w="1803"/>
        <w:gridCol w:w="1004"/>
        <w:gridCol w:w="890"/>
      </w:tblGrid>
      <w:tr>
        <w:tblPrEx>
          <w:tblCellMar>
            <w:top w:w="0" w:type="dxa"/>
            <w:left w:w="108" w:type="dxa"/>
            <w:bottom w:w="0" w:type="dxa"/>
            <w:right w:w="108" w:type="dxa"/>
          </w:tblCellMar>
        </w:tblPrEx>
        <w:trPr>
          <w:trHeight w:val="424" w:hRule="atLeast"/>
          <w:tblHeader/>
        </w:trPr>
        <w:tc>
          <w:tcPr>
            <w:tcW w:w="798"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一级指标</w:t>
            </w:r>
          </w:p>
        </w:tc>
        <w:tc>
          <w:tcPr>
            <w:tcW w:w="826"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二级指标</w:t>
            </w:r>
          </w:p>
        </w:tc>
        <w:tc>
          <w:tcPr>
            <w:tcW w:w="1205"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三级指标</w:t>
            </w:r>
          </w:p>
        </w:tc>
        <w:tc>
          <w:tcPr>
            <w:tcW w:w="1057"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四级指标</w:t>
            </w:r>
          </w:p>
        </w:tc>
        <w:tc>
          <w:tcPr>
            <w:tcW w:w="589"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权重</w:t>
            </w:r>
          </w:p>
        </w:tc>
        <w:tc>
          <w:tcPr>
            <w:tcW w:w="522"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得分</w:t>
            </w:r>
          </w:p>
        </w:tc>
      </w:tr>
      <w:tr>
        <w:tblPrEx>
          <w:tblCellMar>
            <w:top w:w="0" w:type="dxa"/>
            <w:left w:w="108" w:type="dxa"/>
            <w:bottom w:w="0" w:type="dxa"/>
            <w:right w:w="108" w:type="dxa"/>
          </w:tblCellMar>
        </w:tblPrEx>
        <w:trPr>
          <w:trHeight w:val="424" w:hRule="atLeast"/>
        </w:trPr>
        <w:tc>
          <w:tcPr>
            <w:tcW w:w="7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B过程（25）</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B1资金管理</w:t>
            </w: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B11资金到位率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659"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B12资金到位及时性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400"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B13预算执行率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652"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B14资金使用合规性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753"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B2组织实施</w:t>
            </w:r>
          </w:p>
        </w:tc>
        <w:tc>
          <w:tcPr>
            <w:tcW w:w="1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B21项目管理制度健全性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B211财务管理制度健全性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w:t>
            </w:r>
          </w:p>
        </w:tc>
      </w:tr>
      <w:tr>
        <w:tblPrEx>
          <w:tblCellMar>
            <w:top w:w="0" w:type="dxa"/>
            <w:left w:w="108" w:type="dxa"/>
            <w:bottom w:w="0" w:type="dxa"/>
            <w:right w:w="108" w:type="dxa"/>
          </w:tblCellMar>
        </w:tblPrEx>
        <w:trPr>
          <w:trHeight w:val="808"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B212项目管理制度健全性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1</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w:t>
            </w:r>
          </w:p>
        </w:tc>
      </w:tr>
      <w:tr>
        <w:tblPrEx>
          <w:tblCellMar>
            <w:top w:w="0" w:type="dxa"/>
            <w:left w:w="108" w:type="dxa"/>
            <w:bottom w:w="0" w:type="dxa"/>
            <w:right w:w="108" w:type="dxa"/>
          </w:tblCellMar>
        </w:tblPrEx>
        <w:trPr>
          <w:trHeight w:val="666"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B22项目管理制度执行有效性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B221政府采购合规性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625"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B222</w:t>
            </w:r>
            <w:r>
              <w:rPr>
                <w:rStyle w:val="208"/>
                <w:rFonts w:hint="default" w:ascii="Times New Roman" w:hAnsi="Times New Roman" w:cs="Times New Roman"/>
                <w:sz w:val="24"/>
                <w:szCs w:val="24"/>
                <w:lang w:bidi="ar"/>
              </w:rPr>
              <w:t>月评比规范性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1.5</w:t>
            </w:r>
          </w:p>
        </w:tc>
      </w:tr>
      <w:tr>
        <w:tblPrEx>
          <w:tblCellMar>
            <w:top w:w="0" w:type="dxa"/>
            <w:left w:w="108" w:type="dxa"/>
            <w:bottom w:w="0" w:type="dxa"/>
            <w:right w:w="108" w:type="dxa"/>
          </w:tblCellMar>
        </w:tblPrEx>
        <w:trPr>
          <w:trHeight w:val="705"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B223考核验收规范性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2</w:t>
            </w:r>
          </w:p>
        </w:tc>
      </w:tr>
      <w:tr>
        <w:tblPrEx>
          <w:tblCellMar>
            <w:top w:w="0" w:type="dxa"/>
            <w:left w:w="108" w:type="dxa"/>
            <w:bottom w:w="0" w:type="dxa"/>
            <w:right w:w="108" w:type="dxa"/>
          </w:tblCellMar>
        </w:tblPrEx>
        <w:trPr>
          <w:trHeight w:val="701"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B224财务监控有效性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710"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B225档案管理规范性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1</w:t>
            </w:r>
          </w:p>
        </w:tc>
      </w:tr>
      <w:tr>
        <w:tblPrEx>
          <w:tblCellMar>
            <w:top w:w="0" w:type="dxa"/>
            <w:left w:w="108" w:type="dxa"/>
            <w:bottom w:w="0" w:type="dxa"/>
            <w:right w:w="108" w:type="dxa"/>
          </w:tblCellMar>
        </w:tblPrEx>
        <w:trPr>
          <w:trHeight w:val="613"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B226服务资源配置合理性</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1.5</w:t>
            </w:r>
          </w:p>
        </w:tc>
      </w:tr>
      <w:tr>
        <w:tblPrEx>
          <w:tblCellMar>
            <w:top w:w="0" w:type="dxa"/>
            <w:left w:w="108" w:type="dxa"/>
            <w:bottom w:w="0" w:type="dxa"/>
            <w:right w:w="108" w:type="dxa"/>
          </w:tblCellMar>
        </w:tblPrEx>
        <w:trPr>
          <w:trHeight w:val="518" w:hRule="atLeast"/>
        </w:trPr>
        <w:tc>
          <w:tcPr>
            <w:tcW w:w="388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B类指标合计</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25</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b/>
                <w:bCs/>
                <w:color w:val="000000"/>
                <w:sz w:val="24"/>
                <w:szCs w:val="24"/>
                <w:lang w:val="en-US" w:eastAsia="zh-CN" w:bidi="ar"/>
              </w:rPr>
            </w:pPr>
            <w:r>
              <w:rPr>
                <w:rFonts w:hint="default" w:ascii="Times New Roman" w:hAnsi="Times New Roman" w:cs="Times New Roman"/>
                <w:b/>
                <w:bCs/>
                <w:color w:val="000000"/>
                <w:sz w:val="24"/>
                <w:szCs w:val="24"/>
                <w:lang w:val="en-US" w:eastAsia="zh-CN" w:bidi="ar"/>
              </w:rPr>
              <w:t>21</w:t>
            </w:r>
          </w:p>
        </w:tc>
      </w:tr>
    </w:tbl>
    <w:p>
      <w:pPr>
        <w:pStyle w:val="5"/>
        <w:keepNext/>
        <w:keepLines/>
        <w:pageBreakBefore w:val="0"/>
        <w:widowControl/>
        <w:kinsoku/>
        <w:wordWrap/>
        <w:overflowPunct/>
        <w:topLinePunct w:val="0"/>
        <w:autoSpaceDE/>
        <w:autoSpaceDN/>
        <w:bidi w:val="0"/>
        <w:adjustRightInd/>
        <w:snapToGrid/>
        <w:ind w:left="0" w:leftChars="0" w:firstLine="643" w:firstLineChars="200"/>
        <w:textAlignment w:val="auto"/>
        <w:rPr>
          <w:rFonts w:hint="default" w:ascii="Times New Roman" w:hAnsi="Times New Roman" w:cs="Times New Roman"/>
        </w:rPr>
      </w:pPr>
      <w:r>
        <w:rPr>
          <w:rFonts w:hint="default" w:ascii="Times New Roman" w:hAnsi="Times New Roman" w:cs="Times New Roman"/>
        </w:rPr>
        <w:t>1.资金管理</w:t>
      </w:r>
    </w:p>
    <w:p>
      <w:pPr>
        <w:ind w:firstLine="643"/>
        <w:rPr>
          <w:rFonts w:hint="default" w:ascii="Times New Roman" w:hAnsi="Times New Roman" w:cs="Times New Roman"/>
        </w:rPr>
      </w:pPr>
      <w:r>
        <w:rPr>
          <w:rFonts w:hint="default" w:ascii="Times New Roman" w:hAnsi="Times New Roman" w:cs="Times New Roman"/>
          <w:b/>
          <w:bCs/>
        </w:rPr>
        <w:t>“B11资金到位率”</w:t>
      </w:r>
      <w:r>
        <w:rPr>
          <w:rFonts w:hint="default" w:ascii="Times New Roman" w:hAnsi="Times New Roman" w:cs="Times New Roman"/>
        </w:rPr>
        <w:t>指标权重值2分，评价得分2分。该项目本年批复预算279.06万元，年中申请追加100万元，实际到位资金379.06万元，资金到位率100%。依据评分标准，该项指标得2分。</w:t>
      </w:r>
    </w:p>
    <w:p>
      <w:pPr>
        <w:ind w:firstLine="643"/>
        <w:rPr>
          <w:rFonts w:hint="default" w:ascii="Times New Roman" w:hAnsi="Times New Roman" w:cs="Times New Roman"/>
        </w:rPr>
      </w:pPr>
      <w:r>
        <w:rPr>
          <w:rFonts w:hint="default" w:ascii="Times New Roman" w:hAnsi="Times New Roman" w:cs="Times New Roman"/>
          <w:b/>
          <w:bCs/>
        </w:rPr>
        <w:t>“B12资金到位及时性”</w:t>
      </w:r>
      <w:r>
        <w:rPr>
          <w:rFonts w:hint="default" w:ascii="Times New Roman" w:hAnsi="Times New Roman" w:cs="Times New Roman"/>
        </w:rPr>
        <w:t>指标权重值2分，评价得分2分。本项目批复金额均在年度内及时到位。依据评分标准，该项指标得2分。</w:t>
      </w:r>
    </w:p>
    <w:p>
      <w:pPr>
        <w:ind w:firstLine="643"/>
        <w:rPr>
          <w:rFonts w:hint="default" w:ascii="Times New Roman" w:hAnsi="Times New Roman" w:cs="Times New Roman"/>
        </w:rPr>
      </w:pPr>
      <w:r>
        <w:rPr>
          <w:rFonts w:hint="default" w:ascii="Times New Roman" w:hAnsi="Times New Roman" w:cs="Times New Roman"/>
          <w:b/>
          <w:bCs/>
        </w:rPr>
        <w:t>“B13预算执行率”</w:t>
      </w:r>
      <w:r>
        <w:rPr>
          <w:rFonts w:hint="default" w:ascii="Times New Roman" w:hAnsi="Times New Roman" w:cs="Times New Roman"/>
        </w:rPr>
        <w:t>指标权重值3分，评价得分</w:t>
      </w:r>
      <w:r>
        <w:rPr>
          <w:rFonts w:hint="default" w:ascii="Times New Roman" w:hAnsi="Times New Roman" w:cs="Times New Roman"/>
          <w:lang w:val="en-US" w:eastAsia="zh-CN"/>
        </w:rPr>
        <w:t>3</w:t>
      </w:r>
      <w:r>
        <w:rPr>
          <w:rFonts w:hint="default" w:ascii="Times New Roman" w:hAnsi="Times New Roman" w:cs="Times New Roman"/>
        </w:rPr>
        <w:t>分。本项目年度内实际到位资金379.06万元，截至评价日支出</w:t>
      </w:r>
      <w:r>
        <w:rPr>
          <w:rFonts w:hint="default" w:ascii="Times New Roman" w:hAnsi="Times New Roman" w:cs="Times New Roman"/>
          <w:lang w:val="en-US" w:eastAsia="zh-CN"/>
        </w:rPr>
        <w:t>379.06</w:t>
      </w:r>
      <w:r>
        <w:rPr>
          <w:rFonts w:hint="default" w:ascii="Times New Roman" w:hAnsi="Times New Roman" w:cs="Times New Roman"/>
        </w:rPr>
        <w:t>万元，预算执行率</w:t>
      </w:r>
      <w:r>
        <w:rPr>
          <w:rFonts w:hint="default" w:ascii="Times New Roman" w:hAnsi="Times New Roman" w:cs="Times New Roman"/>
          <w:lang w:val="en-US" w:eastAsia="zh-CN"/>
        </w:rPr>
        <w:t>100</w:t>
      </w:r>
      <w:r>
        <w:rPr>
          <w:rFonts w:hint="default" w:ascii="Times New Roman" w:hAnsi="Times New Roman" w:cs="Times New Roman"/>
        </w:rPr>
        <w:t>%。依据评分标准，该项指标得</w:t>
      </w:r>
      <w:r>
        <w:rPr>
          <w:rFonts w:hint="default" w:ascii="Times New Roman" w:hAnsi="Times New Roman" w:cs="Times New Roman"/>
          <w:lang w:val="en-US" w:eastAsia="zh-CN"/>
        </w:rPr>
        <w:t>3</w:t>
      </w:r>
      <w:r>
        <w:rPr>
          <w:rFonts w:hint="default" w:ascii="Times New Roman" w:hAnsi="Times New Roman" w:cs="Times New Roman"/>
        </w:rPr>
        <w:t>分。</w:t>
      </w:r>
    </w:p>
    <w:p>
      <w:pPr>
        <w:ind w:firstLine="643"/>
        <w:rPr>
          <w:rFonts w:hint="default" w:ascii="Times New Roman" w:hAnsi="Times New Roman" w:cs="Times New Roman"/>
        </w:rPr>
      </w:pPr>
      <w:r>
        <w:rPr>
          <w:rFonts w:hint="default" w:ascii="Times New Roman" w:hAnsi="Times New Roman" w:cs="Times New Roman"/>
          <w:b/>
          <w:bCs/>
        </w:rPr>
        <w:t>“B14资金使用合规性”</w:t>
      </w:r>
      <w:r>
        <w:rPr>
          <w:rFonts w:hint="default" w:ascii="Times New Roman" w:hAnsi="Times New Roman" w:cs="Times New Roman"/>
        </w:rPr>
        <w:t>指标权重值2分，评价得分2分。根据项目单位提供的资金支出明细，本项目资金均用于支付养护单位服务费，资金支出符合专项资金管理办法，拨付审批手续完整，符合合同约定的用途，不存在截留、挤占、挪用、虚列支出的现象。依据评分标准，该项指标得2分。</w:t>
      </w:r>
    </w:p>
    <w:p>
      <w:pPr>
        <w:pStyle w:val="5"/>
        <w:ind w:firstLine="643"/>
        <w:rPr>
          <w:rFonts w:hint="default" w:ascii="Times New Roman" w:hAnsi="Times New Roman" w:cs="Times New Roman"/>
        </w:rPr>
      </w:pPr>
      <w:r>
        <w:rPr>
          <w:rFonts w:hint="default" w:ascii="Times New Roman" w:hAnsi="Times New Roman" w:cs="Times New Roman"/>
        </w:rPr>
        <w:t>2.组织实施</w:t>
      </w:r>
    </w:p>
    <w:p>
      <w:pPr>
        <w:ind w:firstLine="643"/>
        <w:rPr>
          <w:rFonts w:hint="default" w:ascii="Times New Roman" w:hAnsi="Times New Roman" w:cs="Times New Roman"/>
          <w:b/>
          <w:bCs/>
        </w:rPr>
      </w:pPr>
      <w:r>
        <w:rPr>
          <w:rFonts w:hint="default" w:ascii="Times New Roman" w:hAnsi="Times New Roman" w:cs="Times New Roman"/>
          <w:b/>
          <w:bCs/>
        </w:rPr>
        <w:t>B21项目管理制度健全性</w:t>
      </w:r>
    </w:p>
    <w:p>
      <w:pPr>
        <w:ind w:firstLine="643"/>
        <w:rPr>
          <w:rFonts w:hint="default" w:ascii="Times New Roman" w:hAnsi="Times New Roman" w:cs="Times New Roman"/>
        </w:rPr>
      </w:pPr>
      <w:r>
        <w:rPr>
          <w:rFonts w:hint="default" w:ascii="Times New Roman" w:hAnsi="Times New Roman" w:cs="Times New Roman"/>
          <w:b/>
          <w:bCs/>
        </w:rPr>
        <w:t>“B211财务管理制度健全性”</w:t>
      </w:r>
      <w:r>
        <w:rPr>
          <w:rFonts w:hint="default" w:ascii="Times New Roman" w:hAnsi="Times New Roman" w:cs="Times New Roman"/>
        </w:rPr>
        <w:t>指标权重值1分，评价得分1分。本项目财务管理方面依据部门财务管理制度及合同约定的资金支付相关内容执行，财务管理制度合法、合规。依据评分标准，该项指标得1分。</w:t>
      </w:r>
    </w:p>
    <w:p>
      <w:pPr>
        <w:ind w:firstLine="643"/>
        <w:rPr>
          <w:rFonts w:hint="default" w:ascii="Times New Roman" w:hAnsi="Times New Roman" w:cs="Times New Roman"/>
        </w:rPr>
      </w:pPr>
      <w:r>
        <w:rPr>
          <w:rFonts w:hint="default" w:ascii="Times New Roman" w:hAnsi="Times New Roman" w:cs="Times New Roman"/>
          <w:b/>
          <w:bCs/>
        </w:rPr>
        <w:t>“B212项目管理制度健全性”</w:t>
      </w:r>
      <w:r>
        <w:rPr>
          <w:rFonts w:hint="default" w:ascii="Times New Roman" w:hAnsi="Times New Roman" w:cs="Times New Roman"/>
        </w:rPr>
        <w:t>指标权重值1分，评价得分1分。项目单位依据项目合同及《新乡市市区河渠综合事务中心社会化养护管理标准》对本项目进行管理，项目管理制度健全。依据评分标准，该项指标得1分。</w:t>
      </w:r>
    </w:p>
    <w:p>
      <w:pPr>
        <w:pStyle w:val="48"/>
        <w:spacing w:line="560" w:lineRule="exact"/>
        <w:ind w:firstLine="643" w:firstLineChars="200"/>
        <w:jc w:val="both"/>
        <w:rPr>
          <w:rFonts w:hint="default" w:ascii="Times New Roman" w:hAnsi="Times New Roman" w:cs="Times New Roman"/>
          <w:b/>
          <w:bCs/>
          <w:color w:val="auto"/>
          <w:sz w:val="32"/>
        </w:rPr>
      </w:pPr>
      <w:r>
        <w:rPr>
          <w:rFonts w:hint="default" w:ascii="Times New Roman" w:hAnsi="Times New Roman" w:cs="Times New Roman"/>
          <w:b/>
          <w:bCs/>
          <w:color w:val="auto"/>
          <w:sz w:val="32"/>
        </w:rPr>
        <w:t>B22项目管理制度执行有效性</w:t>
      </w:r>
    </w:p>
    <w:p>
      <w:pPr>
        <w:ind w:firstLine="643"/>
        <w:rPr>
          <w:rFonts w:hint="default" w:ascii="Times New Roman" w:hAnsi="Times New Roman" w:cs="Times New Roman"/>
        </w:rPr>
      </w:pPr>
      <w:r>
        <w:rPr>
          <w:rFonts w:hint="default" w:ascii="Times New Roman" w:hAnsi="Times New Roman" w:cs="Times New Roman"/>
          <w:b/>
          <w:bCs/>
        </w:rPr>
        <w:t>“B221政府采购合规性”</w:t>
      </w:r>
      <w:r>
        <w:rPr>
          <w:rFonts w:hint="default" w:ascii="Times New Roman" w:hAnsi="Times New Roman" w:cs="Times New Roman"/>
        </w:rPr>
        <w:t>指标权重值3分，评价得分</w:t>
      </w:r>
      <w:r>
        <w:rPr>
          <w:rFonts w:hint="default" w:ascii="Times New Roman" w:hAnsi="Times New Roman" w:cs="Times New Roman"/>
          <w:lang w:val="en-US" w:eastAsia="zh-CN"/>
        </w:rPr>
        <w:t>2</w:t>
      </w:r>
      <w:r>
        <w:rPr>
          <w:rFonts w:hint="default" w:ascii="Times New Roman" w:hAnsi="Times New Roman" w:cs="Times New Roman"/>
        </w:rPr>
        <w:t>分。</w:t>
      </w:r>
      <w:r>
        <w:rPr>
          <w:rFonts w:hint="default" w:ascii="Times New Roman" w:hAnsi="Times New Roman" w:cs="Times New Roman"/>
          <w:lang w:val="en-US" w:eastAsia="zh-CN"/>
        </w:rPr>
        <w:t>项目单位采用公开招标的方式确定各河段养护单位，但政府采购过程中，对中标单位的审查不够严谨，导致重新确定养护单位。依据评分标准，该项指标得2分。</w:t>
      </w:r>
    </w:p>
    <w:p>
      <w:pPr>
        <w:widowControl w:val="0"/>
        <w:spacing w:line="596" w:lineRule="exact"/>
        <w:ind w:firstLine="643"/>
        <w:rPr>
          <w:rFonts w:hint="default" w:ascii="Times New Roman" w:hAnsi="Times New Roman" w:cs="Times New Roman"/>
          <w:vertAlign w:val="superscript"/>
        </w:rPr>
      </w:pPr>
      <w:r>
        <w:rPr>
          <w:rFonts w:hint="default" w:ascii="Times New Roman" w:hAnsi="Times New Roman" w:cs="Times New Roman"/>
          <w:b/>
          <w:bCs/>
        </w:rPr>
        <w:t>“B222月评比考核规范性”</w:t>
      </w:r>
      <w:r>
        <w:rPr>
          <w:rFonts w:hint="default" w:ascii="Times New Roman" w:hAnsi="Times New Roman" w:cs="Times New Roman"/>
        </w:rPr>
        <w:t>指标权重值2分，评价得分</w:t>
      </w:r>
      <w:r>
        <w:rPr>
          <w:rFonts w:hint="default" w:ascii="Times New Roman" w:hAnsi="Times New Roman" w:cs="Times New Roman"/>
          <w:lang w:val="en-US" w:eastAsia="zh-CN"/>
        </w:rPr>
        <w:t>1.5</w:t>
      </w:r>
      <w:r>
        <w:rPr>
          <w:rFonts w:hint="default" w:ascii="Times New Roman" w:hAnsi="Times New Roman" w:cs="Times New Roman"/>
        </w:rPr>
        <w:t>分。项目单位依据《新乡市市区河渠综合事务中心社会化管理养护督察考评暂行办法》对各养护单位进行月评比并打分，评比中出现反馈问题未解决，需要二次派遣时，会依据考评标准扣分并罚款。但月评比打分表中2022年未出现二次派遣扣分情况，实际管理简报显示有二次派遣现象；且“数字城管”“数字河管”案发情况在月评比打分表中均未体现。月评比虽资料齐全，但打分结果与实际情况有偏差。月评比打分考核虽有开展但与实际有偏差。依据评分标准，该项指标得1.5分。</w:t>
      </w:r>
    </w:p>
    <w:p>
      <w:pPr>
        <w:pStyle w:val="144"/>
        <w:widowControl w:val="0"/>
        <w:ind w:firstLine="643"/>
        <w:rPr>
          <w:rFonts w:hint="default" w:ascii="Times New Roman" w:hAnsi="Times New Roman" w:cs="Times New Roman"/>
        </w:rPr>
      </w:pPr>
      <w:r>
        <w:rPr>
          <w:rFonts w:hint="default" w:ascii="Times New Roman" w:hAnsi="Times New Roman" w:cs="Times New Roman"/>
          <w:b/>
          <w:bCs/>
        </w:rPr>
        <w:t>“B223考核验收规范性”</w:t>
      </w:r>
      <w:r>
        <w:rPr>
          <w:rFonts w:hint="default" w:ascii="Times New Roman" w:hAnsi="Times New Roman" w:cs="Times New Roman"/>
        </w:rPr>
        <w:t>指标权重值3分，评价得分</w:t>
      </w:r>
      <w:r>
        <w:rPr>
          <w:rFonts w:hint="default" w:ascii="Times New Roman" w:hAnsi="Times New Roman" w:cs="Times New Roman"/>
          <w:lang w:val="en-US" w:eastAsia="zh-CN"/>
        </w:rPr>
        <w:t>2</w:t>
      </w:r>
      <w:r>
        <w:rPr>
          <w:rFonts w:hint="default" w:ascii="Times New Roman" w:hAnsi="Times New Roman" w:cs="Times New Roman"/>
        </w:rPr>
        <w:t>分。项目单位每季度按照《新乡市市区河渠综合管理办公室社会化管理养护监督考评暂行办法》对各养护单位的养护成果进行验收，并出具验收报告；但根据项目单位提供的验收报告，卫河段2021年11月18日</w:t>
      </w:r>
      <w:r>
        <w:rPr>
          <w:rFonts w:hint="default" w:ascii="Times New Roman" w:hAnsi="Times New Roman" w:cs="Times New Roman"/>
          <w:lang w:eastAsia="zh-CN"/>
        </w:rPr>
        <w:t>—</w:t>
      </w:r>
      <w:r>
        <w:rPr>
          <w:rFonts w:hint="default" w:ascii="Times New Roman" w:hAnsi="Times New Roman" w:cs="Times New Roman"/>
        </w:rPr>
        <w:t>2022年2月18日的养护成果于2022年4月7日进行验收，且2022年8月24日为该河段出具了2022年2月18日</w:t>
      </w:r>
      <w:r>
        <w:rPr>
          <w:rFonts w:hint="default" w:ascii="Times New Roman" w:hAnsi="Times New Roman" w:cs="Times New Roman"/>
          <w:lang w:eastAsia="zh-CN"/>
        </w:rPr>
        <w:t>—</w:t>
      </w:r>
      <w:r>
        <w:rPr>
          <w:rFonts w:hint="default" w:ascii="Times New Roman" w:hAnsi="Times New Roman" w:cs="Times New Roman"/>
        </w:rPr>
        <w:t>2022年5月18日和2022年5月18日</w:t>
      </w:r>
      <w:r>
        <w:rPr>
          <w:rFonts w:hint="default" w:ascii="Times New Roman" w:hAnsi="Times New Roman" w:cs="Times New Roman"/>
          <w:lang w:eastAsia="zh-CN"/>
        </w:rPr>
        <w:t>—</w:t>
      </w:r>
      <w:r>
        <w:rPr>
          <w:rFonts w:hint="default" w:ascii="Times New Roman" w:hAnsi="Times New Roman" w:cs="Times New Roman"/>
        </w:rPr>
        <w:t>2022年8月18日两个季度的验收报告，赵定河兰示段验收阶段为2022年5月29日</w:t>
      </w:r>
      <w:r>
        <w:rPr>
          <w:rFonts w:hint="default" w:ascii="Times New Roman" w:hAnsi="Times New Roman" w:cs="Times New Roman"/>
          <w:lang w:eastAsia="zh-CN"/>
        </w:rPr>
        <w:t>—</w:t>
      </w:r>
      <w:r>
        <w:rPr>
          <w:rFonts w:hint="default" w:ascii="Times New Roman" w:hAnsi="Times New Roman" w:cs="Times New Roman"/>
        </w:rPr>
        <w:t>2022年8月29日，验收时间为2022年8月24日。考核验收存在滞后或超前等不规范现象。依据评分标准，该项指标得2分。</w:t>
      </w:r>
    </w:p>
    <w:p>
      <w:pPr>
        <w:ind w:firstLine="643"/>
        <w:rPr>
          <w:rFonts w:hint="default" w:ascii="Times New Roman" w:hAnsi="Times New Roman" w:cs="Times New Roman"/>
        </w:rPr>
      </w:pPr>
      <w:r>
        <w:rPr>
          <w:rFonts w:hint="default" w:ascii="Times New Roman" w:hAnsi="Times New Roman" w:cs="Times New Roman"/>
          <w:b/>
          <w:bCs/>
        </w:rPr>
        <w:t>“B224财务监控有效性”</w:t>
      </w:r>
      <w:r>
        <w:rPr>
          <w:rFonts w:hint="default" w:ascii="Times New Roman" w:hAnsi="Times New Roman" w:cs="Times New Roman"/>
        </w:rPr>
        <w:t>指标权重值2分，评价得分2分。项目单位依据部门财务管理制度及合同约定对本项目的资金支出进行监控，资金支出流程及审批手续健全，成本控制较好。依据评分标准，该项指标得2分。</w:t>
      </w:r>
    </w:p>
    <w:p>
      <w:pPr>
        <w:ind w:firstLine="643"/>
        <w:rPr>
          <w:rFonts w:hint="default" w:ascii="Times New Roman" w:hAnsi="Times New Roman" w:cs="Times New Roman"/>
        </w:rPr>
      </w:pPr>
      <w:r>
        <w:rPr>
          <w:rFonts w:hint="default" w:ascii="Times New Roman" w:hAnsi="Times New Roman" w:cs="Times New Roman"/>
          <w:b/>
          <w:bCs/>
        </w:rPr>
        <w:t>“B225档案管理规范性”</w:t>
      </w:r>
      <w:r>
        <w:rPr>
          <w:rFonts w:hint="default" w:ascii="Times New Roman" w:hAnsi="Times New Roman" w:cs="Times New Roman"/>
        </w:rPr>
        <w:t>指标权重值2分，评价得分1分。项目单位有专人负责档案资料的对接与收集，相关支出凭证、管理制度、服务合同等均可提供，但存在月评比数据与罚款数据不对应的问题。依据评分标准，该项指标得1分。</w:t>
      </w:r>
    </w:p>
    <w:p>
      <w:pPr>
        <w:pStyle w:val="16"/>
        <w:spacing w:line="560" w:lineRule="exact"/>
        <w:ind w:firstLine="643"/>
        <w:rPr>
          <w:rFonts w:hint="default" w:ascii="Times New Roman" w:hAnsi="Times New Roman" w:eastAsia="仿宋_GB2312" w:cs="Times New Roman"/>
          <w:sz w:val="32"/>
          <w:szCs w:val="22"/>
          <w:lang w:eastAsia="zh-CN"/>
        </w:rPr>
      </w:pPr>
      <w:r>
        <w:rPr>
          <w:rFonts w:hint="default" w:ascii="Times New Roman" w:hAnsi="Times New Roman" w:eastAsia="仿宋_GB2312" w:cs="Times New Roman"/>
          <w:b/>
          <w:bCs/>
          <w:sz w:val="32"/>
          <w:szCs w:val="32"/>
          <w:lang w:eastAsia="zh-CN"/>
        </w:rPr>
        <w:t>“B226</w:t>
      </w:r>
      <w:r>
        <w:rPr>
          <w:rFonts w:hint="default" w:ascii="Times New Roman" w:hAnsi="Times New Roman" w:eastAsia="仿宋_GB2312" w:cs="Times New Roman"/>
          <w:b/>
          <w:bCs/>
          <w:sz w:val="32"/>
          <w:szCs w:val="32"/>
          <w:lang w:val="en-US" w:eastAsia="zh-CN"/>
        </w:rPr>
        <w:t>服务</w:t>
      </w:r>
      <w:r>
        <w:rPr>
          <w:rFonts w:hint="default" w:ascii="Times New Roman" w:hAnsi="Times New Roman" w:eastAsia="仿宋_GB2312" w:cs="Times New Roman"/>
          <w:b/>
          <w:bCs/>
          <w:sz w:val="32"/>
          <w:szCs w:val="32"/>
          <w:lang w:eastAsia="zh-CN"/>
        </w:rPr>
        <w:t>配置合理性”</w:t>
      </w:r>
      <w:r>
        <w:rPr>
          <w:rFonts w:hint="default" w:ascii="Times New Roman" w:hAnsi="Times New Roman" w:eastAsia="仿宋_GB2312" w:cs="Times New Roman"/>
          <w:sz w:val="32"/>
          <w:szCs w:val="32"/>
          <w:lang w:eastAsia="zh-CN"/>
        </w:rPr>
        <w:t>指</w:t>
      </w:r>
      <w:r>
        <w:rPr>
          <w:rFonts w:hint="default" w:ascii="Times New Roman" w:hAnsi="Times New Roman" w:eastAsia="仿宋_GB2312" w:cs="Times New Roman"/>
          <w:sz w:val="32"/>
          <w:szCs w:val="22"/>
          <w:lang w:eastAsia="zh-CN"/>
        </w:rPr>
        <w:t>标权重值2分，评价得分</w:t>
      </w:r>
      <w:r>
        <w:rPr>
          <w:rFonts w:hint="default" w:ascii="Times New Roman" w:hAnsi="Times New Roman" w:eastAsia="仿宋_GB2312" w:cs="Times New Roman"/>
          <w:sz w:val="32"/>
          <w:szCs w:val="22"/>
          <w:lang w:val="en-US" w:eastAsia="zh-CN"/>
        </w:rPr>
        <w:t>1.5</w:t>
      </w:r>
      <w:r>
        <w:rPr>
          <w:rFonts w:hint="default" w:ascii="Times New Roman" w:hAnsi="Times New Roman" w:eastAsia="仿宋_GB2312" w:cs="Times New Roman"/>
          <w:sz w:val="32"/>
          <w:szCs w:val="32"/>
          <w:lang w:eastAsia="zh-CN"/>
        </w:rPr>
        <w:t>分。</w:t>
      </w:r>
      <w:r>
        <w:rPr>
          <w:rFonts w:hint="default" w:ascii="Times New Roman" w:hAnsi="Times New Roman" w:eastAsia="仿宋_GB2312" w:cs="Times New Roman"/>
          <w:sz w:val="32"/>
          <w:szCs w:val="32"/>
          <w:lang w:val="en-US" w:eastAsia="zh-CN"/>
        </w:rPr>
        <w:t>经现场走访，社会化养护标段配备有养护人员及管理人员、打捞船等。但养护人员年龄偏大，部分打捞船损坏未及时维修。依据评分标准，该项指标得1.5分</w:t>
      </w:r>
      <w:r>
        <w:rPr>
          <w:rFonts w:hint="default" w:ascii="Times New Roman" w:hAnsi="Times New Roman" w:eastAsia="仿宋_GB2312" w:cs="Times New Roman"/>
          <w:sz w:val="32"/>
          <w:szCs w:val="32"/>
          <w:lang w:eastAsia="zh-CN"/>
        </w:rPr>
        <w:t>。</w:t>
      </w:r>
    </w:p>
    <w:p>
      <w:pPr>
        <w:ind w:firstLine="643"/>
        <w:outlineLvl w:val="1"/>
        <w:rPr>
          <w:rFonts w:hint="default" w:ascii="Times New Roman" w:hAnsi="Times New Roman" w:cs="Times New Roman"/>
          <w:b/>
          <w:bCs/>
        </w:rPr>
      </w:pPr>
      <w:bookmarkStart w:id="105" w:name="_Toc91522500"/>
      <w:r>
        <w:rPr>
          <w:rFonts w:hint="default" w:ascii="Times New Roman" w:hAnsi="Times New Roman" w:cs="Times New Roman"/>
          <w:b/>
          <w:bCs/>
        </w:rPr>
        <w:t>（三）项目产出情况</w:t>
      </w:r>
      <w:bookmarkEnd w:id="105"/>
    </w:p>
    <w:p>
      <w:pPr>
        <w:pStyle w:val="16"/>
        <w:spacing w:line="560" w:lineRule="exact"/>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项目产出类指标包括3个二级指标，7个三级指标，4个四级指标，权重分30分，实际得分</w:t>
      </w:r>
      <w:r>
        <w:rPr>
          <w:rFonts w:hint="default"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lang w:eastAsia="zh-CN"/>
        </w:rPr>
        <w:t>分。各类指标得分情况下：</w:t>
      </w:r>
    </w:p>
    <w:p>
      <w:pPr>
        <w:pStyle w:val="204"/>
        <w:spacing w:line="560" w:lineRule="exact"/>
        <w:rPr>
          <w:rFonts w:hint="default" w:ascii="Times New Roman" w:hAnsi="Times New Roman" w:cs="Times New Roman"/>
        </w:rPr>
      </w:pPr>
      <w:r>
        <w:rPr>
          <w:rFonts w:hint="default" w:ascii="Times New Roman" w:hAnsi="Times New Roman" w:cs="Times New Roman"/>
        </w:rPr>
        <w:t>表4-3：产出类指标评分汇总表</w:t>
      </w:r>
    </w:p>
    <w:tbl>
      <w:tblPr>
        <w:tblStyle w:val="37"/>
        <w:tblW w:w="4998" w:type="pct"/>
        <w:tblInd w:w="0" w:type="dxa"/>
        <w:tblLayout w:type="autofit"/>
        <w:tblCellMar>
          <w:top w:w="0" w:type="dxa"/>
          <w:left w:w="108" w:type="dxa"/>
          <w:bottom w:w="0" w:type="dxa"/>
          <w:right w:w="108" w:type="dxa"/>
        </w:tblCellMar>
      </w:tblPr>
      <w:tblGrid>
        <w:gridCol w:w="1359"/>
        <w:gridCol w:w="1407"/>
        <w:gridCol w:w="2054"/>
        <w:gridCol w:w="1805"/>
        <w:gridCol w:w="1004"/>
        <w:gridCol w:w="890"/>
      </w:tblGrid>
      <w:tr>
        <w:tblPrEx>
          <w:tblCellMar>
            <w:top w:w="0" w:type="dxa"/>
            <w:left w:w="108" w:type="dxa"/>
            <w:bottom w:w="0" w:type="dxa"/>
            <w:right w:w="108" w:type="dxa"/>
          </w:tblCellMar>
        </w:tblPrEx>
        <w:trPr>
          <w:trHeight w:val="580" w:hRule="atLeast"/>
          <w:tblHeader/>
        </w:trPr>
        <w:tc>
          <w:tcPr>
            <w:tcW w:w="798"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一级指标</w:t>
            </w:r>
          </w:p>
        </w:tc>
        <w:tc>
          <w:tcPr>
            <w:tcW w:w="826"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二级指标</w:t>
            </w:r>
          </w:p>
        </w:tc>
        <w:tc>
          <w:tcPr>
            <w:tcW w:w="1205"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三级指标</w:t>
            </w:r>
          </w:p>
        </w:tc>
        <w:tc>
          <w:tcPr>
            <w:tcW w:w="1057"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四级指标</w:t>
            </w:r>
          </w:p>
        </w:tc>
        <w:tc>
          <w:tcPr>
            <w:tcW w:w="589"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权重</w:t>
            </w:r>
          </w:p>
        </w:tc>
        <w:tc>
          <w:tcPr>
            <w:tcW w:w="522"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得分</w:t>
            </w:r>
          </w:p>
        </w:tc>
      </w:tr>
      <w:tr>
        <w:tblPrEx>
          <w:tblCellMar>
            <w:top w:w="0" w:type="dxa"/>
            <w:left w:w="108" w:type="dxa"/>
            <w:bottom w:w="0" w:type="dxa"/>
            <w:right w:w="108" w:type="dxa"/>
          </w:tblCellMar>
        </w:tblPrEx>
        <w:trPr>
          <w:trHeight w:val="745" w:hRule="atLeast"/>
        </w:trPr>
        <w:tc>
          <w:tcPr>
            <w:tcW w:w="7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 产出（30）</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C1产出数量</w:t>
            </w:r>
          </w:p>
        </w:tc>
        <w:tc>
          <w:tcPr>
            <w:tcW w:w="1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C11卫河养护完成率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C111卫河绿地养护完成率</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625"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C112卫河水面养护完成率</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755"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C12赵定河养护完成率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C121赵定河绿地养护完成率</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793"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C122赵定河水面养护完成率</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796"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C2产出质量</w:t>
            </w: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C21卫河养护验收合格率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936"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C22赵定河养护验收合格率</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730"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C3产出时效</w:t>
            </w: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C31卫河养护及时性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r>
      <w:tr>
        <w:tblPrEx>
          <w:tblCellMar>
            <w:top w:w="0" w:type="dxa"/>
            <w:left w:w="108" w:type="dxa"/>
            <w:bottom w:w="0" w:type="dxa"/>
            <w:right w:w="108" w:type="dxa"/>
          </w:tblCellMar>
        </w:tblPrEx>
        <w:trPr>
          <w:trHeight w:val="555"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C32赵定河养护及时性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eastAsia="zh-CN" w:bidi="ar"/>
              </w:rPr>
            </w:pPr>
            <w:r>
              <w:rPr>
                <w:rFonts w:hint="default" w:ascii="Times New Roman" w:hAnsi="Times New Roman" w:cs="Times New Roman"/>
                <w:color w:val="000000"/>
                <w:sz w:val="24"/>
                <w:szCs w:val="24"/>
                <w:lang w:val="en-US" w:eastAsia="zh-CN" w:bidi="ar"/>
              </w:rPr>
              <w:t>4</w:t>
            </w:r>
          </w:p>
        </w:tc>
      </w:tr>
      <w:tr>
        <w:trPr>
          <w:trHeight w:val="589" w:hRule="atLeast"/>
        </w:trPr>
        <w:tc>
          <w:tcPr>
            <w:tcW w:w="7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C4产出成本</w:t>
            </w:r>
          </w:p>
        </w:tc>
        <w:tc>
          <w:tcPr>
            <w:tcW w:w="120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C41产出成本合理性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color w:val="000000"/>
                <w:sz w:val="24"/>
                <w:szCs w:val="24"/>
              </w:rPr>
            </w:pP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449" w:hRule="atLeast"/>
        </w:trPr>
        <w:tc>
          <w:tcPr>
            <w:tcW w:w="3888"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Times New Roman" w:hAnsi="Times New Roman" w:cs="Times New Roman"/>
                <w:b/>
                <w:bCs/>
                <w:color w:val="000000"/>
                <w:sz w:val="24"/>
                <w:szCs w:val="24"/>
              </w:rPr>
            </w:pPr>
            <w:r>
              <w:rPr>
                <w:rFonts w:hint="default" w:ascii="Times New Roman" w:hAnsi="Times New Roman" w:cs="Times New Roman"/>
                <w:b/>
                <w:bCs/>
                <w:color w:val="000000"/>
                <w:sz w:val="24"/>
                <w:szCs w:val="24"/>
              </w:rPr>
              <w:t>C类指标合计</w:t>
            </w:r>
          </w:p>
        </w:tc>
        <w:tc>
          <w:tcPr>
            <w:tcW w:w="58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30</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textAlignment w:val="center"/>
              <w:rPr>
                <w:rFonts w:hint="default" w:ascii="Times New Roman" w:hAnsi="Times New Roman" w:eastAsia="仿宋_GB2312" w:cs="Times New Roman"/>
                <w:b/>
                <w:bCs/>
                <w:color w:val="000000"/>
                <w:sz w:val="24"/>
                <w:szCs w:val="24"/>
                <w:lang w:val="en-US" w:eastAsia="zh-CN" w:bidi="ar"/>
              </w:rPr>
            </w:pPr>
            <w:r>
              <w:rPr>
                <w:rFonts w:hint="default" w:ascii="Times New Roman" w:hAnsi="Times New Roman" w:cs="Times New Roman"/>
                <w:b/>
                <w:bCs/>
                <w:color w:val="000000"/>
                <w:sz w:val="24"/>
                <w:szCs w:val="24"/>
                <w:lang w:val="en-US" w:eastAsia="zh-CN" w:bidi="ar"/>
              </w:rPr>
              <w:t>26</w:t>
            </w:r>
          </w:p>
        </w:tc>
      </w:tr>
    </w:tbl>
    <w:p>
      <w:pPr>
        <w:pStyle w:val="5"/>
        <w:keepNext/>
        <w:keepLines/>
        <w:pageBreakBefore w:val="0"/>
        <w:widowControl/>
        <w:kinsoku/>
        <w:wordWrap/>
        <w:overflowPunct/>
        <w:topLinePunct w:val="0"/>
        <w:autoSpaceDE/>
        <w:autoSpaceDN/>
        <w:bidi w:val="0"/>
        <w:adjustRightInd/>
        <w:snapToGrid/>
        <w:ind w:left="0" w:leftChars="0" w:firstLine="643" w:firstLineChars="200"/>
        <w:textAlignment w:val="auto"/>
        <w:rPr>
          <w:rFonts w:hint="default" w:ascii="Times New Roman" w:hAnsi="Times New Roman" w:cs="Times New Roman"/>
        </w:rPr>
      </w:pPr>
      <w:r>
        <w:rPr>
          <w:rFonts w:hint="default" w:ascii="Times New Roman" w:hAnsi="Times New Roman" w:cs="Times New Roman"/>
        </w:rPr>
        <w:t>1.产出数量</w:t>
      </w:r>
    </w:p>
    <w:p>
      <w:pPr>
        <w:ind w:firstLine="643"/>
        <w:rPr>
          <w:rFonts w:hint="default" w:ascii="Times New Roman" w:hAnsi="Times New Roman" w:cs="Times New Roman"/>
          <w:b/>
          <w:bCs/>
          <w:szCs w:val="32"/>
        </w:rPr>
      </w:pPr>
      <w:r>
        <w:rPr>
          <w:rFonts w:hint="default" w:ascii="Times New Roman" w:hAnsi="Times New Roman" w:cs="Times New Roman"/>
          <w:b/>
          <w:bCs/>
          <w:szCs w:val="32"/>
        </w:rPr>
        <w:t>C11卫河绿地养护完成率</w:t>
      </w:r>
    </w:p>
    <w:p>
      <w:pPr>
        <w:pStyle w:val="144"/>
        <w:ind w:firstLine="643"/>
        <w:rPr>
          <w:rFonts w:hint="default" w:ascii="Times New Roman" w:hAnsi="Times New Roman" w:cs="Times New Roman"/>
          <w:highlight w:val="green"/>
        </w:rPr>
      </w:pPr>
      <w:r>
        <w:rPr>
          <w:rFonts w:hint="default" w:ascii="Times New Roman" w:hAnsi="Times New Roman" w:cs="Times New Roman"/>
          <w:b/>
          <w:bCs/>
          <w:szCs w:val="32"/>
        </w:rPr>
        <w:t>“C111卫河绿地养护完成率”</w:t>
      </w:r>
      <w:r>
        <w:rPr>
          <w:rFonts w:hint="default" w:ascii="Times New Roman" w:hAnsi="Times New Roman" w:cs="Times New Roman"/>
          <w:szCs w:val="32"/>
        </w:rPr>
        <w:t>指标权重值2分，</w:t>
      </w:r>
      <w:r>
        <w:rPr>
          <w:rFonts w:hint="default" w:ascii="Times New Roman" w:hAnsi="Times New Roman" w:cs="Times New Roman"/>
        </w:rPr>
        <w:t>评价得分2分。河南龙安园林绿化工程有限公司按照合同约定对卫河下游段进行养护，绿地养护面积15万</w:t>
      </w:r>
      <w:r>
        <w:rPr>
          <w:rFonts w:hint="default" w:ascii="Times New Roman" w:hAnsi="Times New Roman" w:cs="Times New Roman"/>
          <w:lang w:eastAsia="zh-CN"/>
        </w:rPr>
        <w:t>平方米</w:t>
      </w:r>
      <w:r>
        <w:rPr>
          <w:rFonts w:hint="default" w:ascii="Times New Roman" w:hAnsi="Times New Roman" w:cs="Times New Roman"/>
        </w:rPr>
        <w:t>，主要负责绿地植物修剪、浇水及垃圾清扫等工作，年度绿地养护工作完成率100%，依据评分标准，该项指标得2分。</w:t>
      </w:r>
    </w:p>
    <w:p>
      <w:pPr>
        <w:ind w:firstLine="643"/>
        <w:rPr>
          <w:rFonts w:hint="default" w:ascii="Times New Roman" w:hAnsi="Times New Roman" w:cs="Times New Roman"/>
        </w:rPr>
      </w:pPr>
      <w:r>
        <w:rPr>
          <w:rFonts w:hint="default" w:ascii="Times New Roman" w:hAnsi="Times New Roman" w:cs="Times New Roman"/>
          <w:b/>
          <w:bCs/>
        </w:rPr>
        <w:t>“C112卫河水面养护完成率”</w:t>
      </w:r>
      <w:r>
        <w:rPr>
          <w:rFonts w:hint="default" w:ascii="Times New Roman" w:hAnsi="Times New Roman" w:cs="Times New Roman"/>
        </w:rPr>
        <w:t>指标权重值2分，评价得分2分。养护单位依据合同约定对卫河下游段水面进行社会化养护，主要包括水面垃圾的清理、水域安全管理、相关设施的维修维护等，年度内卫河下游水面养护工作完成率100%。依据评分标准，该项指标得2分。</w:t>
      </w:r>
    </w:p>
    <w:p>
      <w:pPr>
        <w:pStyle w:val="148"/>
        <w:ind w:firstLine="643"/>
        <w:rPr>
          <w:rFonts w:hint="default" w:ascii="Times New Roman" w:hAnsi="Times New Roman" w:cs="Times New Roman"/>
          <w:b/>
          <w:bCs/>
          <w:sz w:val="32"/>
          <w:szCs w:val="32"/>
        </w:rPr>
      </w:pPr>
      <w:r>
        <w:rPr>
          <w:rFonts w:hint="default" w:ascii="Times New Roman" w:hAnsi="Times New Roman" w:cs="Times New Roman"/>
          <w:b/>
          <w:bCs/>
          <w:sz w:val="32"/>
          <w:szCs w:val="32"/>
        </w:rPr>
        <w:t>C12赵定河养护完成率</w:t>
      </w:r>
    </w:p>
    <w:p>
      <w:pPr>
        <w:pStyle w:val="148"/>
        <w:ind w:firstLine="643"/>
        <w:rPr>
          <w:rFonts w:hint="default" w:ascii="Times New Roman" w:hAnsi="Times New Roman" w:cs="Times New Roman"/>
          <w:sz w:val="32"/>
        </w:rPr>
      </w:pPr>
      <w:r>
        <w:rPr>
          <w:rFonts w:hint="default" w:ascii="Times New Roman" w:hAnsi="Times New Roman" w:cs="Times New Roman"/>
          <w:b/>
          <w:bCs/>
          <w:sz w:val="32"/>
          <w:szCs w:val="32"/>
        </w:rPr>
        <w:t>“C121赵定河绿地养护完成率”</w:t>
      </w:r>
      <w:r>
        <w:rPr>
          <w:rFonts w:hint="default" w:ascii="Times New Roman" w:hAnsi="Times New Roman" w:cs="Times New Roman"/>
          <w:sz w:val="32"/>
          <w:szCs w:val="32"/>
        </w:rPr>
        <w:t>指标权重值3分</w:t>
      </w:r>
      <w:r>
        <w:rPr>
          <w:rFonts w:hint="default" w:ascii="Times New Roman" w:hAnsi="Times New Roman" w:cs="Times New Roman"/>
          <w:sz w:val="32"/>
        </w:rPr>
        <w:t>，评价得分</w:t>
      </w:r>
      <w:r>
        <w:rPr>
          <w:rFonts w:hint="default" w:ascii="Times New Roman" w:hAnsi="Times New Roman" w:cs="Times New Roman"/>
          <w:sz w:val="32"/>
          <w:lang w:val="en-US" w:eastAsia="zh-CN"/>
        </w:rPr>
        <w:t>3</w:t>
      </w:r>
      <w:r>
        <w:rPr>
          <w:rFonts w:hint="default" w:ascii="Times New Roman" w:hAnsi="Times New Roman" w:cs="Times New Roman"/>
          <w:sz w:val="32"/>
        </w:rPr>
        <w:t>分。中标单位按照合同约定对赵定河26.5万m²绿地面积进行养护，包括绿地植物修剪、浇水及垃圾清扫等工作，年度内赵定河6个河段绿地养护完成率100%。依据评分标准，该项指标得3分。</w:t>
      </w:r>
    </w:p>
    <w:p>
      <w:pPr>
        <w:pStyle w:val="148"/>
        <w:ind w:firstLine="643"/>
        <w:rPr>
          <w:rFonts w:hint="default" w:ascii="Times New Roman" w:hAnsi="Times New Roman" w:cs="Times New Roman"/>
          <w:sz w:val="32"/>
        </w:rPr>
      </w:pPr>
      <w:r>
        <w:rPr>
          <w:rFonts w:hint="default" w:ascii="Times New Roman" w:hAnsi="Times New Roman" w:cs="Times New Roman"/>
          <w:b/>
          <w:bCs/>
          <w:sz w:val="32"/>
          <w:szCs w:val="32"/>
        </w:rPr>
        <w:t>“C122赵定河水面养护完成率”</w:t>
      </w:r>
      <w:r>
        <w:rPr>
          <w:rFonts w:hint="default" w:ascii="Times New Roman" w:hAnsi="Times New Roman" w:cs="Times New Roman"/>
          <w:sz w:val="32"/>
          <w:szCs w:val="32"/>
        </w:rPr>
        <w:t>指标权重值3分，评</w:t>
      </w:r>
      <w:r>
        <w:rPr>
          <w:rFonts w:hint="default" w:ascii="Times New Roman" w:hAnsi="Times New Roman" w:cs="Times New Roman"/>
          <w:sz w:val="32"/>
        </w:rPr>
        <w:t>价得分</w:t>
      </w:r>
      <w:r>
        <w:rPr>
          <w:rFonts w:hint="default" w:ascii="Times New Roman" w:hAnsi="Times New Roman" w:cs="Times New Roman"/>
          <w:sz w:val="32"/>
          <w:lang w:val="en-US" w:eastAsia="zh-CN"/>
        </w:rPr>
        <w:t>3</w:t>
      </w:r>
      <w:r>
        <w:rPr>
          <w:rFonts w:hint="default" w:ascii="Times New Roman" w:hAnsi="Times New Roman" w:cs="Times New Roman"/>
          <w:sz w:val="32"/>
        </w:rPr>
        <w:t>分。中标单位按照合同约定对赵定河23.43万m²水面面积进行社会化养护，包括水面垃圾清理、水域安全管理、相关设施维护等，年度内赵定河6个河段水面养护面积养护完成率100%。依据评分标准，该项指标得3分。</w:t>
      </w:r>
    </w:p>
    <w:p>
      <w:pPr>
        <w:pStyle w:val="5"/>
        <w:ind w:firstLine="643"/>
        <w:rPr>
          <w:rFonts w:hint="default" w:ascii="Times New Roman" w:hAnsi="Times New Roman" w:cs="Times New Roman"/>
        </w:rPr>
      </w:pPr>
      <w:r>
        <w:rPr>
          <w:rFonts w:hint="default" w:ascii="Times New Roman" w:hAnsi="Times New Roman" w:cs="Times New Roman"/>
        </w:rPr>
        <w:t>2.产出质量</w:t>
      </w:r>
    </w:p>
    <w:p>
      <w:pPr>
        <w:ind w:firstLine="643"/>
        <w:rPr>
          <w:rFonts w:hint="default" w:ascii="Times New Roman" w:hAnsi="Times New Roman" w:cs="Times New Roman"/>
        </w:rPr>
      </w:pPr>
      <w:r>
        <w:rPr>
          <w:rFonts w:hint="default" w:ascii="Times New Roman" w:hAnsi="Times New Roman" w:cs="Times New Roman"/>
          <w:b/>
          <w:bCs/>
        </w:rPr>
        <w:t>“C21卫河养护验收合格率”</w:t>
      </w:r>
      <w:r>
        <w:rPr>
          <w:rFonts w:hint="default" w:ascii="Times New Roman" w:hAnsi="Times New Roman" w:cs="Times New Roman"/>
        </w:rPr>
        <w:t>指标权重值4分，评价得分</w:t>
      </w:r>
      <w:r>
        <w:rPr>
          <w:rFonts w:hint="default" w:ascii="Times New Roman" w:hAnsi="Times New Roman" w:cs="Times New Roman"/>
          <w:lang w:val="en-US" w:eastAsia="zh-CN"/>
        </w:rPr>
        <w:t>3</w:t>
      </w:r>
      <w:r>
        <w:rPr>
          <w:rFonts w:hint="default" w:ascii="Times New Roman" w:hAnsi="Times New Roman" w:cs="Times New Roman"/>
        </w:rPr>
        <w:t>分。根据项目单位提供的验收报告及管理简报，卫河段年度内有多次罚款现象。</w:t>
      </w:r>
      <w:r>
        <w:rPr>
          <w:rFonts w:hint="default" w:ascii="Times New Roman" w:hAnsi="Times New Roman" w:cs="Times New Roman"/>
          <w:lang w:val="en-US" w:eastAsia="zh-CN"/>
        </w:rPr>
        <w:t>2022年1-7月份，“数字城管发案”22起，“数字河管”发案6456起。</w:t>
      </w:r>
      <w:r>
        <w:rPr>
          <w:rFonts w:hint="default" w:ascii="Times New Roman" w:hAnsi="Times New Roman" w:cs="Times New Roman"/>
        </w:rPr>
        <w:t>且现场踏勘发现，草地内多有宠物排泄物未及时清理。依据评分标准，该项指标得3分。</w:t>
      </w:r>
    </w:p>
    <w:p>
      <w:pPr>
        <w:pStyle w:val="48"/>
        <w:spacing w:line="560" w:lineRule="exact"/>
        <w:ind w:firstLine="643" w:firstLineChars="200"/>
        <w:jc w:val="both"/>
        <w:rPr>
          <w:rFonts w:hint="default" w:ascii="Times New Roman" w:hAnsi="Times New Roman" w:cs="Times New Roman"/>
          <w:color w:val="auto"/>
          <w:sz w:val="32"/>
        </w:rPr>
      </w:pPr>
      <w:r>
        <w:rPr>
          <w:rFonts w:hint="default" w:ascii="Times New Roman" w:hAnsi="Times New Roman" w:cs="Times New Roman"/>
          <w:b/>
          <w:bCs/>
          <w:color w:val="auto"/>
          <w:sz w:val="32"/>
        </w:rPr>
        <w:t>“C22赵定河养护验收合格率”</w:t>
      </w:r>
      <w:r>
        <w:rPr>
          <w:rFonts w:hint="default" w:ascii="Times New Roman" w:hAnsi="Times New Roman" w:cs="Times New Roman"/>
          <w:color w:val="auto"/>
          <w:sz w:val="32"/>
        </w:rPr>
        <w:t>指标权重分值4分，评价得分</w:t>
      </w:r>
      <w:r>
        <w:rPr>
          <w:rFonts w:hint="default" w:ascii="Times New Roman" w:hAnsi="Times New Roman" w:cs="Times New Roman"/>
          <w:color w:val="auto"/>
          <w:sz w:val="32"/>
          <w:lang w:val="en-US" w:eastAsia="zh-CN"/>
        </w:rPr>
        <w:t>3</w:t>
      </w:r>
      <w:r>
        <w:rPr>
          <w:rFonts w:hint="default" w:ascii="Times New Roman" w:hAnsi="Times New Roman" w:cs="Times New Roman"/>
          <w:color w:val="auto"/>
          <w:sz w:val="32"/>
        </w:rPr>
        <w:t>分。根据项目单位提供的验收报告及管理简报，赵定河年度内有多次罚款</w:t>
      </w:r>
      <w:r>
        <w:rPr>
          <w:rFonts w:hint="default" w:ascii="Times New Roman" w:hAnsi="Times New Roman" w:cs="Times New Roman"/>
          <w:color w:val="auto"/>
          <w:sz w:val="32"/>
          <w:lang w:val="en-US" w:eastAsia="zh-CN"/>
        </w:rPr>
        <w:t>现象</w:t>
      </w:r>
      <w:r>
        <w:rPr>
          <w:rFonts w:hint="default" w:ascii="Times New Roman" w:hAnsi="Times New Roman" w:cs="Times New Roman"/>
          <w:color w:val="auto"/>
          <w:sz w:val="32"/>
        </w:rPr>
        <w:t>，</w:t>
      </w:r>
      <w:r>
        <w:rPr>
          <w:rFonts w:hint="default" w:ascii="Times New Roman" w:hAnsi="Times New Roman" w:cs="Times New Roman"/>
          <w:color w:val="auto"/>
          <w:sz w:val="32"/>
          <w:lang w:val="en-US" w:eastAsia="zh-CN"/>
        </w:rPr>
        <w:t>2022年1-7月“数字城管”发案12起，“数字河管”发案8650起，</w:t>
      </w:r>
      <w:r>
        <w:rPr>
          <w:rFonts w:hint="default" w:ascii="Times New Roman" w:hAnsi="Times New Roman" w:cs="Times New Roman"/>
          <w:color w:val="auto"/>
          <w:sz w:val="32"/>
        </w:rPr>
        <w:t>且4-7月份存在7次二次派遣任务，现场踏勘</w:t>
      </w:r>
      <w:r>
        <w:rPr>
          <w:rFonts w:hint="default" w:ascii="Times New Roman" w:hAnsi="Times New Roman" w:cs="Times New Roman"/>
          <w:color w:val="auto"/>
          <w:sz w:val="32"/>
          <w:lang w:val="en-US" w:eastAsia="zh-CN"/>
        </w:rPr>
        <w:t>时</w:t>
      </w:r>
      <w:r>
        <w:rPr>
          <w:rFonts w:hint="default" w:ascii="Times New Roman" w:hAnsi="Times New Roman" w:cs="Times New Roman"/>
          <w:color w:val="auto"/>
          <w:sz w:val="32"/>
        </w:rPr>
        <w:t>，部分河段河面落叶较多，草地内动物排泄物清理不及时现象尤为严重。依据评分标准，该项指标得3分。</w:t>
      </w:r>
    </w:p>
    <w:p>
      <w:pPr>
        <w:pStyle w:val="5"/>
        <w:ind w:firstLine="643"/>
        <w:rPr>
          <w:rFonts w:hint="default" w:ascii="Times New Roman" w:hAnsi="Times New Roman" w:cs="Times New Roman"/>
          <w:szCs w:val="22"/>
        </w:rPr>
      </w:pPr>
      <w:r>
        <w:rPr>
          <w:rFonts w:hint="default" w:ascii="Times New Roman" w:hAnsi="Times New Roman" w:cs="Times New Roman"/>
          <w:szCs w:val="22"/>
        </w:rPr>
        <w:t>3.产出时效</w:t>
      </w:r>
    </w:p>
    <w:p>
      <w:pPr>
        <w:ind w:firstLine="643"/>
        <w:rPr>
          <w:rFonts w:hint="default" w:ascii="Times New Roman" w:hAnsi="Times New Roman" w:cs="Times New Roman"/>
        </w:rPr>
      </w:pPr>
      <w:r>
        <w:rPr>
          <w:rFonts w:hint="default" w:ascii="Times New Roman" w:hAnsi="Times New Roman" w:cs="Times New Roman"/>
          <w:b/>
          <w:bCs/>
          <w:color w:val="000000"/>
        </w:rPr>
        <w:t>“C31卫河养护及时性”</w:t>
      </w:r>
      <w:r>
        <w:rPr>
          <w:rFonts w:hint="default" w:ascii="Times New Roman" w:hAnsi="Times New Roman" w:cs="Times New Roman"/>
          <w:color w:val="000000"/>
        </w:rPr>
        <w:t>指</w:t>
      </w:r>
      <w:r>
        <w:rPr>
          <w:rFonts w:hint="default" w:ascii="Times New Roman" w:hAnsi="Times New Roman" w:cs="Times New Roman"/>
        </w:rPr>
        <w:t>标权重值3分，评价得分3分。根据项目单位提供的资料，中标单位按照养护标准，及时对卫河段进行养护。依据评分标准，该项指标得3分。</w:t>
      </w:r>
    </w:p>
    <w:p>
      <w:pPr>
        <w:ind w:firstLine="643"/>
        <w:rPr>
          <w:rFonts w:hint="default" w:ascii="Times New Roman" w:hAnsi="Times New Roman" w:cs="Times New Roman"/>
        </w:rPr>
      </w:pPr>
      <w:r>
        <w:rPr>
          <w:rFonts w:hint="default" w:ascii="Times New Roman" w:hAnsi="Times New Roman" w:cs="Times New Roman"/>
          <w:b/>
          <w:bCs/>
          <w:color w:val="000000"/>
        </w:rPr>
        <w:t>“C32赵定河养护及时性”</w:t>
      </w:r>
      <w:r>
        <w:rPr>
          <w:rFonts w:hint="default" w:ascii="Times New Roman" w:hAnsi="Times New Roman" w:cs="Times New Roman"/>
          <w:color w:val="000000"/>
        </w:rPr>
        <w:t>指</w:t>
      </w:r>
      <w:r>
        <w:rPr>
          <w:rFonts w:hint="default" w:ascii="Times New Roman" w:hAnsi="Times New Roman" w:cs="Times New Roman"/>
        </w:rPr>
        <w:t>标权重值4分，评价得分</w:t>
      </w:r>
      <w:r>
        <w:rPr>
          <w:rFonts w:hint="default" w:ascii="Times New Roman" w:hAnsi="Times New Roman" w:cs="Times New Roman"/>
          <w:lang w:val="en-US" w:eastAsia="zh-CN"/>
        </w:rPr>
        <w:t>4</w:t>
      </w:r>
      <w:r>
        <w:rPr>
          <w:rFonts w:hint="default" w:ascii="Times New Roman" w:hAnsi="Times New Roman" w:cs="Times New Roman"/>
        </w:rPr>
        <w:t>分。根据项目单位提供的资料，中标单位按照养护标准，及时对赵定河6个河段进行养护。依据评分标准，该项指标得4分。</w:t>
      </w:r>
    </w:p>
    <w:p>
      <w:pPr>
        <w:ind w:firstLine="643"/>
        <w:rPr>
          <w:rFonts w:hint="default" w:ascii="Times New Roman" w:hAnsi="Times New Roman" w:cs="Times New Roman"/>
          <w:b/>
          <w:bCs/>
          <w:color w:val="000000"/>
        </w:rPr>
      </w:pPr>
      <w:r>
        <w:rPr>
          <w:rFonts w:hint="default" w:ascii="Times New Roman" w:hAnsi="Times New Roman" w:cs="Times New Roman"/>
          <w:b/>
          <w:bCs/>
          <w:color w:val="000000"/>
        </w:rPr>
        <w:t>4.产出成本</w:t>
      </w:r>
    </w:p>
    <w:p>
      <w:pPr>
        <w:ind w:firstLine="643"/>
        <w:rPr>
          <w:rFonts w:hint="default" w:ascii="Times New Roman" w:hAnsi="Times New Roman" w:cs="Times New Roman"/>
        </w:rPr>
      </w:pPr>
      <w:r>
        <w:rPr>
          <w:rFonts w:hint="default" w:ascii="Times New Roman" w:hAnsi="Times New Roman" w:cs="Times New Roman"/>
          <w:b/>
          <w:bCs/>
          <w:color w:val="000000"/>
        </w:rPr>
        <w:t>“C41产出成本合理性”</w:t>
      </w:r>
      <w:r>
        <w:rPr>
          <w:rFonts w:hint="default" w:ascii="Times New Roman" w:hAnsi="Times New Roman" w:cs="Times New Roman"/>
          <w:color w:val="000000"/>
        </w:rPr>
        <w:t>指</w:t>
      </w:r>
      <w:r>
        <w:rPr>
          <w:rFonts w:hint="default" w:ascii="Times New Roman" w:hAnsi="Times New Roman" w:cs="Times New Roman"/>
        </w:rPr>
        <w:t>标权重值5分，评价得分</w:t>
      </w:r>
      <w:r>
        <w:rPr>
          <w:rFonts w:hint="default" w:ascii="Times New Roman" w:hAnsi="Times New Roman" w:cs="Times New Roman"/>
          <w:lang w:val="en-US" w:eastAsia="zh-CN"/>
        </w:rPr>
        <w:t>3</w:t>
      </w:r>
      <w:r>
        <w:rPr>
          <w:rFonts w:hint="default" w:ascii="Times New Roman" w:hAnsi="Times New Roman" w:cs="Times New Roman"/>
        </w:rPr>
        <w:t>分。根据项目单位提供的资料，社会化养护成本测算清晰，但部分费用存在重复计算的现象且项目单位未结合自主养护的投入与产出，合理分析河渠养护项目的成本效益，避免不必要的财政支出成本节约控制不够有力。依据评分标准，该项指标得3分。</w:t>
      </w:r>
    </w:p>
    <w:p>
      <w:pPr>
        <w:pStyle w:val="16"/>
        <w:ind w:firstLine="643"/>
        <w:outlineLvl w:val="1"/>
        <w:rPr>
          <w:rFonts w:hint="default" w:ascii="Times New Roman" w:hAnsi="Times New Roman" w:eastAsia="楷体_GB2312" w:cs="Times New Roman"/>
          <w:b/>
          <w:bCs/>
          <w:sz w:val="32"/>
          <w:szCs w:val="32"/>
          <w:lang w:eastAsia="zh-CN"/>
        </w:rPr>
      </w:pPr>
      <w:bookmarkStart w:id="106" w:name="_Toc91522501"/>
      <w:r>
        <w:rPr>
          <w:rFonts w:hint="default" w:ascii="Times New Roman" w:hAnsi="Times New Roman" w:eastAsia="楷体_GB2312" w:cs="Times New Roman"/>
          <w:b/>
          <w:bCs/>
          <w:sz w:val="32"/>
          <w:szCs w:val="32"/>
          <w:lang w:eastAsia="zh-CN"/>
        </w:rPr>
        <w:t>（四）项目效益情况</w:t>
      </w:r>
      <w:bookmarkEnd w:id="106"/>
    </w:p>
    <w:p>
      <w:pPr>
        <w:pStyle w:val="16"/>
        <w:ind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项目效益类指标包括3个二级指标，6个三级指标，权重分30分，实际得分</w:t>
      </w:r>
      <w:r>
        <w:rPr>
          <w:rFonts w:hint="default" w:ascii="Times New Roman" w:hAnsi="Times New Roman" w:eastAsia="仿宋_GB2312" w:cs="Times New Roman"/>
          <w:sz w:val="32"/>
          <w:szCs w:val="32"/>
          <w:lang w:val="en-US" w:eastAsia="zh-CN"/>
        </w:rPr>
        <w:t>25.75</w:t>
      </w:r>
      <w:r>
        <w:rPr>
          <w:rFonts w:hint="default" w:ascii="Times New Roman" w:hAnsi="Times New Roman" w:eastAsia="仿宋_GB2312" w:cs="Times New Roman"/>
          <w:sz w:val="32"/>
          <w:szCs w:val="32"/>
          <w:lang w:eastAsia="zh-CN"/>
        </w:rPr>
        <w:t>分。各类指标得分情况下：</w:t>
      </w:r>
    </w:p>
    <w:p>
      <w:pPr>
        <w:pStyle w:val="204"/>
        <w:spacing w:line="560" w:lineRule="exact"/>
        <w:rPr>
          <w:rFonts w:hint="default" w:ascii="Times New Roman" w:hAnsi="Times New Roman" w:cs="Times New Roman"/>
        </w:rPr>
      </w:pPr>
      <w:r>
        <w:rPr>
          <w:rFonts w:hint="default" w:ascii="Times New Roman" w:hAnsi="Times New Roman" w:cs="Times New Roman"/>
        </w:rPr>
        <w:t>表4-4：效益类指标评分汇总表</w:t>
      </w:r>
    </w:p>
    <w:tbl>
      <w:tblPr>
        <w:tblStyle w:val="37"/>
        <w:tblW w:w="4999" w:type="pct"/>
        <w:tblInd w:w="0" w:type="dxa"/>
        <w:tblLayout w:type="autofit"/>
        <w:tblCellMar>
          <w:top w:w="0" w:type="dxa"/>
          <w:left w:w="108" w:type="dxa"/>
          <w:bottom w:w="0" w:type="dxa"/>
          <w:right w:w="108" w:type="dxa"/>
        </w:tblCellMar>
      </w:tblPr>
      <w:tblGrid>
        <w:gridCol w:w="1725"/>
        <w:gridCol w:w="1786"/>
        <w:gridCol w:w="2609"/>
        <w:gridCol w:w="1273"/>
        <w:gridCol w:w="1127"/>
      </w:tblGrid>
      <w:tr>
        <w:tblPrEx>
          <w:tblCellMar>
            <w:top w:w="0" w:type="dxa"/>
            <w:left w:w="108" w:type="dxa"/>
            <w:bottom w:w="0" w:type="dxa"/>
            <w:right w:w="108" w:type="dxa"/>
          </w:tblCellMar>
        </w:tblPrEx>
        <w:trPr>
          <w:trHeight w:val="90" w:hRule="atLeast"/>
          <w:tblHeader/>
        </w:trPr>
        <w:tc>
          <w:tcPr>
            <w:tcW w:w="1012"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adjustRightInd w:val="0"/>
              <w:snapToGrid w:val="0"/>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一级指标</w:t>
            </w:r>
          </w:p>
        </w:tc>
        <w:tc>
          <w:tcPr>
            <w:tcW w:w="1048"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adjustRightInd w:val="0"/>
              <w:snapToGrid w:val="0"/>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二级指标</w:t>
            </w:r>
          </w:p>
        </w:tc>
        <w:tc>
          <w:tcPr>
            <w:tcW w:w="1529"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adjustRightInd w:val="0"/>
              <w:snapToGrid w:val="0"/>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三级指标</w:t>
            </w:r>
          </w:p>
        </w:tc>
        <w:tc>
          <w:tcPr>
            <w:tcW w:w="747"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adjustRightInd w:val="0"/>
              <w:snapToGrid w:val="0"/>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权重</w:t>
            </w:r>
          </w:p>
        </w:tc>
        <w:tc>
          <w:tcPr>
            <w:tcW w:w="661"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adjustRightInd w:val="0"/>
              <w:snapToGrid w:val="0"/>
              <w:spacing w:line="240" w:lineRule="auto"/>
              <w:ind w:firstLine="0" w:firstLineChars="0"/>
              <w:jc w:val="center"/>
              <w:textAlignment w:val="center"/>
              <w:rPr>
                <w:rFonts w:hint="default" w:ascii="Times New Roman" w:hAnsi="Times New Roman" w:cs="Times New Roman"/>
                <w:b/>
                <w:bCs/>
                <w:color w:val="000000"/>
                <w:sz w:val="24"/>
                <w:szCs w:val="24"/>
                <w:lang w:bidi="ar"/>
              </w:rPr>
            </w:pPr>
            <w:r>
              <w:rPr>
                <w:rFonts w:hint="default" w:ascii="Times New Roman" w:hAnsi="Times New Roman" w:cs="Times New Roman"/>
                <w:b/>
                <w:bCs/>
                <w:color w:val="000000"/>
                <w:sz w:val="24"/>
                <w:szCs w:val="24"/>
                <w:lang w:bidi="ar"/>
              </w:rPr>
              <w:t>得分</w:t>
            </w:r>
          </w:p>
        </w:tc>
      </w:tr>
      <w:tr>
        <w:tblPrEx>
          <w:tblCellMar>
            <w:top w:w="0" w:type="dxa"/>
            <w:left w:w="108" w:type="dxa"/>
            <w:bottom w:w="0" w:type="dxa"/>
            <w:right w:w="108" w:type="dxa"/>
          </w:tblCellMar>
        </w:tblPrEx>
        <w:trPr>
          <w:trHeight w:val="625" w:hRule="atLeast"/>
        </w:trPr>
        <w:tc>
          <w:tcPr>
            <w:tcW w:w="101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D效益（30）</w:t>
            </w:r>
          </w:p>
        </w:tc>
        <w:tc>
          <w:tcPr>
            <w:tcW w:w="10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D1项目效益</w:t>
            </w: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D11卫生环境整洁度提升情况</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p>
        </w:tc>
      </w:tr>
      <w:tr>
        <w:tblPrEx>
          <w:tblCellMar>
            <w:top w:w="0" w:type="dxa"/>
            <w:left w:w="108" w:type="dxa"/>
            <w:bottom w:w="0" w:type="dxa"/>
            <w:right w:w="108" w:type="dxa"/>
          </w:tblCellMar>
        </w:tblPrEx>
        <w:trPr>
          <w:trHeight w:val="700"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D12提高沿岸植被保护能力</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3</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w:t>
            </w:r>
          </w:p>
        </w:tc>
      </w:tr>
      <w:tr>
        <w:tblPrEx>
          <w:tblCellMar>
            <w:top w:w="0" w:type="dxa"/>
            <w:left w:w="108" w:type="dxa"/>
            <w:bottom w:w="0" w:type="dxa"/>
            <w:right w:w="108" w:type="dxa"/>
          </w:tblCellMar>
        </w:tblPrEx>
        <w:trPr>
          <w:trHeight w:val="644"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D13溺水等安全事故发生数</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4</w:t>
            </w:r>
          </w:p>
        </w:tc>
      </w:tr>
      <w:tr>
        <w:tblPrEx>
          <w:tblCellMar>
            <w:top w:w="0" w:type="dxa"/>
            <w:left w:w="108" w:type="dxa"/>
            <w:bottom w:w="0" w:type="dxa"/>
            <w:right w:w="108" w:type="dxa"/>
          </w:tblCellMar>
        </w:tblPrEx>
        <w:trPr>
          <w:trHeight w:val="389"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D14有责投诉数</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4</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3</w:t>
            </w:r>
          </w:p>
        </w:tc>
      </w:tr>
      <w:tr>
        <w:tblPrEx>
          <w:tblCellMar>
            <w:top w:w="0" w:type="dxa"/>
            <w:left w:w="108" w:type="dxa"/>
            <w:bottom w:w="0" w:type="dxa"/>
            <w:right w:w="108" w:type="dxa"/>
          </w:tblCellMar>
        </w:tblPrEx>
        <w:trPr>
          <w:trHeight w:val="704"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D2可持续影响</w:t>
            </w: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D21河渠养护机制健全性</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6</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eastAsia="仿宋_GB2312" w:cs="Times New Roman"/>
                <w:color w:val="000000"/>
                <w:sz w:val="24"/>
                <w:szCs w:val="24"/>
                <w:lang w:val="en-US" w:eastAsia="zh-CN" w:bidi="ar"/>
              </w:rPr>
            </w:pPr>
            <w:r>
              <w:rPr>
                <w:rFonts w:hint="default" w:ascii="Times New Roman" w:hAnsi="Times New Roman" w:cs="Times New Roman"/>
                <w:color w:val="000000"/>
                <w:sz w:val="24"/>
                <w:szCs w:val="24"/>
                <w:lang w:val="en-US" w:eastAsia="zh-CN" w:bidi="ar"/>
              </w:rPr>
              <w:t>5</w:t>
            </w:r>
          </w:p>
        </w:tc>
      </w:tr>
      <w:tr>
        <w:tblPrEx>
          <w:tblCellMar>
            <w:top w:w="0" w:type="dxa"/>
            <w:left w:w="108" w:type="dxa"/>
            <w:bottom w:w="0" w:type="dxa"/>
            <w:right w:w="108" w:type="dxa"/>
          </w:tblCellMar>
        </w:tblPrEx>
        <w:trPr>
          <w:trHeight w:val="454"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D3满意度</w:t>
            </w: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D31市民满意度</w:t>
            </w:r>
          </w:p>
        </w:tc>
        <w:tc>
          <w:tcPr>
            <w:tcW w:w="747"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661"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3.75</w:t>
            </w:r>
          </w:p>
        </w:tc>
      </w:tr>
      <w:tr>
        <w:tblPrEx>
          <w:tblCellMar>
            <w:top w:w="0" w:type="dxa"/>
            <w:left w:w="108" w:type="dxa"/>
            <w:bottom w:w="0" w:type="dxa"/>
            <w:right w:w="108" w:type="dxa"/>
          </w:tblCellMar>
        </w:tblPrEx>
        <w:trPr>
          <w:trHeight w:val="494" w:hRule="atLeast"/>
        </w:trPr>
        <w:tc>
          <w:tcPr>
            <w:tcW w:w="101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0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color w:val="000000"/>
                <w:sz w:val="24"/>
                <w:szCs w:val="24"/>
              </w:rPr>
            </w:pPr>
          </w:p>
        </w:tc>
        <w:tc>
          <w:tcPr>
            <w:tcW w:w="1529" w:type="pct"/>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D32购买方满意度</w:t>
            </w: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rPr>
            </w:pPr>
            <w:r>
              <w:rPr>
                <w:rFonts w:hint="default" w:ascii="Times New Roman" w:hAnsi="Times New Roman" w:cs="Times New Roman"/>
                <w:color w:val="000000"/>
                <w:sz w:val="24"/>
                <w:szCs w:val="24"/>
                <w:lang w:bidi="ar"/>
              </w:rPr>
              <w:t>5</w:t>
            </w:r>
          </w:p>
        </w:tc>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5</w:t>
            </w:r>
          </w:p>
        </w:tc>
      </w:tr>
      <w:tr>
        <w:tblPrEx>
          <w:tblCellMar>
            <w:top w:w="0" w:type="dxa"/>
            <w:left w:w="108" w:type="dxa"/>
            <w:bottom w:w="0" w:type="dxa"/>
            <w:right w:w="108" w:type="dxa"/>
          </w:tblCellMar>
        </w:tblPrEx>
        <w:trPr>
          <w:trHeight w:val="489" w:hRule="atLeast"/>
        </w:trPr>
        <w:tc>
          <w:tcPr>
            <w:tcW w:w="359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D类指标合计</w:t>
            </w:r>
          </w:p>
        </w:tc>
        <w:tc>
          <w:tcPr>
            <w:tcW w:w="74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30</w:t>
            </w:r>
          </w:p>
        </w:tc>
        <w:tc>
          <w:tcPr>
            <w:tcW w:w="66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adjustRightInd w:val="0"/>
              <w:snapToGrid w:val="0"/>
              <w:spacing w:line="240" w:lineRule="auto"/>
              <w:ind w:firstLine="0" w:firstLineChars="0"/>
              <w:jc w:val="center"/>
              <w:textAlignment w:val="center"/>
              <w:rPr>
                <w:rFonts w:hint="default" w:ascii="Times New Roman" w:hAnsi="Times New Roman" w:cs="Times New Roman"/>
                <w:color w:val="000000"/>
                <w:sz w:val="24"/>
                <w:szCs w:val="24"/>
                <w:lang w:bidi="ar"/>
              </w:rPr>
            </w:pPr>
            <w:r>
              <w:rPr>
                <w:rFonts w:hint="default" w:ascii="Times New Roman" w:hAnsi="Times New Roman" w:cs="Times New Roman"/>
                <w:color w:val="000000"/>
                <w:sz w:val="24"/>
                <w:szCs w:val="24"/>
                <w:lang w:bidi="ar"/>
              </w:rPr>
              <w:t>2</w:t>
            </w:r>
            <w:r>
              <w:rPr>
                <w:rFonts w:hint="default" w:ascii="Times New Roman" w:hAnsi="Times New Roman" w:cs="Times New Roman"/>
                <w:color w:val="000000"/>
                <w:sz w:val="24"/>
                <w:szCs w:val="24"/>
                <w:lang w:val="en-US" w:eastAsia="zh-CN" w:bidi="ar"/>
              </w:rPr>
              <w:t>5</w:t>
            </w:r>
            <w:r>
              <w:rPr>
                <w:rFonts w:hint="default" w:ascii="Times New Roman" w:hAnsi="Times New Roman" w:cs="Times New Roman"/>
                <w:color w:val="000000"/>
                <w:sz w:val="24"/>
                <w:szCs w:val="24"/>
                <w:lang w:bidi="ar"/>
              </w:rPr>
              <w:t>.75</w:t>
            </w:r>
          </w:p>
        </w:tc>
      </w:tr>
    </w:tbl>
    <w:p>
      <w:pPr>
        <w:pStyle w:val="5"/>
        <w:keepNext/>
        <w:keepLines/>
        <w:pageBreakBefore w:val="0"/>
        <w:widowControl/>
        <w:kinsoku/>
        <w:wordWrap/>
        <w:overflowPunct/>
        <w:topLinePunct w:val="0"/>
        <w:autoSpaceDE/>
        <w:autoSpaceDN/>
        <w:bidi w:val="0"/>
        <w:adjustRightInd/>
        <w:snapToGrid/>
        <w:ind w:left="0" w:leftChars="0" w:firstLine="643" w:firstLineChars="200"/>
        <w:textAlignment w:val="auto"/>
        <w:rPr>
          <w:rFonts w:hint="default" w:ascii="Times New Roman" w:hAnsi="Times New Roman" w:cs="Times New Roman"/>
        </w:rPr>
      </w:pPr>
      <w:r>
        <w:rPr>
          <w:rFonts w:hint="default" w:ascii="Times New Roman" w:hAnsi="Times New Roman" w:cs="Times New Roman"/>
        </w:rPr>
        <w:t>1.项目效益</w:t>
      </w:r>
    </w:p>
    <w:p>
      <w:pPr>
        <w:ind w:firstLine="643"/>
        <w:rPr>
          <w:rFonts w:hint="default" w:ascii="Times New Roman" w:hAnsi="Times New Roman" w:cs="Times New Roman"/>
        </w:rPr>
      </w:pPr>
      <w:r>
        <w:rPr>
          <w:rFonts w:hint="default" w:ascii="Times New Roman" w:hAnsi="Times New Roman" w:cs="Times New Roman"/>
          <w:b/>
          <w:bCs/>
        </w:rPr>
        <w:t>“D11卫生环境整洁度提升情况”</w:t>
      </w:r>
      <w:r>
        <w:rPr>
          <w:rFonts w:hint="default" w:ascii="Times New Roman" w:hAnsi="Times New Roman" w:cs="Times New Roman"/>
        </w:rPr>
        <w:t>指标权重值3分，评价得分2分。通过对卫河1个河段及赵定河6个河段进行社会化养护，多数人认为沿河两岸及河面的卫生环境整洁程度明显提升，但仍</w:t>
      </w:r>
      <w:r>
        <w:rPr>
          <w:rFonts w:hint="default" w:ascii="Times New Roman" w:hAnsi="Times New Roman" w:cs="Times New Roman"/>
          <w:highlight w:val="none"/>
        </w:rPr>
        <w:t>部分人反</w:t>
      </w:r>
      <w:r>
        <w:rPr>
          <w:rFonts w:hint="default" w:ascii="Times New Roman" w:hAnsi="Times New Roman" w:cs="Times New Roman"/>
          <w:highlight w:val="none"/>
          <w:lang w:val="en-US" w:eastAsia="zh-CN"/>
        </w:rPr>
        <w:t>映</w:t>
      </w:r>
      <w:r>
        <w:rPr>
          <w:rFonts w:hint="default" w:ascii="Times New Roman" w:hAnsi="Times New Roman" w:cs="Times New Roman"/>
          <w:highlight w:val="none"/>
        </w:rPr>
        <w:t>有清洁不</w:t>
      </w:r>
      <w:r>
        <w:rPr>
          <w:rFonts w:hint="default" w:ascii="Times New Roman" w:hAnsi="Times New Roman" w:cs="Times New Roman"/>
        </w:rPr>
        <w:t>到位的情况出现。依据评分标准，该项指标得2分。</w:t>
      </w:r>
    </w:p>
    <w:p>
      <w:pPr>
        <w:ind w:firstLine="643"/>
        <w:rPr>
          <w:rFonts w:hint="default" w:ascii="Times New Roman" w:hAnsi="Times New Roman" w:cs="Times New Roman"/>
        </w:rPr>
      </w:pPr>
      <w:r>
        <w:rPr>
          <w:rFonts w:hint="default" w:ascii="Times New Roman" w:hAnsi="Times New Roman" w:cs="Times New Roman"/>
          <w:b/>
          <w:bCs/>
        </w:rPr>
        <w:t>“D12提高沿岸植被保护能力”</w:t>
      </w:r>
      <w:r>
        <w:rPr>
          <w:rFonts w:hint="default" w:ascii="Times New Roman" w:hAnsi="Times New Roman" w:cs="Times New Roman"/>
        </w:rPr>
        <w:t>指标权重值3分，评价得分3分。养护单位按照合同约定对所负责区域内的绿化内容进行修剪、浇水、除草、松土、覆土，沿河两岸的植被存活率较高。依据评分标准，该项指标得3分。</w:t>
      </w:r>
    </w:p>
    <w:p>
      <w:pPr>
        <w:pStyle w:val="148"/>
        <w:widowControl w:val="0"/>
        <w:ind w:firstLine="643"/>
        <w:rPr>
          <w:rFonts w:hint="default" w:ascii="Times New Roman" w:hAnsi="Times New Roman" w:cs="Times New Roman"/>
        </w:rPr>
      </w:pPr>
      <w:r>
        <w:rPr>
          <w:rFonts w:hint="default" w:ascii="Times New Roman" w:hAnsi="Times New Roman" w:cs="Times New Roman"/>
          <w:b/>
          <w:bCs/>
          <w:sz w:val="32"/>
          <w:szCs w:val="32"/>
        </w:rPr>
        <w:t>“D13溺水等安全事故发生数”</w:t>
      </w:r>
      <w:r>
        <w:rPr>
          <w:rFonts w:hint="default" w:ascii="Times New Roman" w:hAnsi="Times New Roman" w:cs="Times New Roman"/>
          <w:sz w:val="32"/>
          <w:szCs w:val="32"/>
        </w:rPr>
        <w:t>指标权重值4分，评价得分4分。通过访谈及相关报道搜索，2022年养护河段内未发生溺水等安全事故。依据评分标准，该项指标得4分。</w:t>
      </w:r>
    </w:p>
    <w:p>
      <w:pPr>
        <w:ind w:firstLine="643"/>
        <w:rPr>
          <w:rFonts w:hint="default" w:ascii="Times New Roman" w:hAnsi="Times New Roman" w:cs="Times New Roman"/>
        </w:rPr>
      </w:pPr>
      <w:r>
        <w:rPr>
          <w:rFonts w:hint="default" w:ascii="Times New Roman" w:hAnsi="Times New Roman" w:cs="Times New Roman"/>
          <w:b/>
          <w:bCs/>
        </w:rPr>
        <w:t>“D14有责投诉数”</w:t>
      </w:r>
      <w:r>
        <w:rPr>
          <w:rFonts w:hint="default" w:ascii="Times New Roman" w:hAnsi="Times New Roman" w:cs="Times New Roman"/>
        </w:rPr>
        <w:t>指标权重值4分，评价得分</w:t>
      </w:r>
      <w:r>
        <w:rPr>
          <w:rFonts w:hint="default" w:ascii="Times New Roman" w:hAnsi="Times New Roman" w:cs="Times New Roman"/>
          <w:lang w:val="en-US" w:eastAsia="zh-CN"/>
        </w:rPr>
        <w:t>3</w:t>
      </w:r>
      <w:r>
        <w:rPr>
          <w:rFonts w:hint="default" w:ascii="Times New Roman" w:hAnsi="Times New Roman" w:cs="Times New Roman"/>
        </w:rPr>
        <w:t>分。</w:t>
      </w:r>
      <w:r>
        <w:rPr>
          <w:rFonts w:hint="default" w:ascii="Times New Roman" w:hAnsi="Times New Roman" w:cs="Times New Roman"/>
          <w:lang w:val="en-US" w:eastAsia="zh-CN"/>
        </w:rPr>
        <w:t>经查询及走访，河渠整体养护效果较好但沿河两岸宠物大小便现象严重且清理不及时。依据评分标准，该项指标得3分</w:t>
      </w:r>
      <w:r>
        <w:rPr>
          <w:rFonts w:hint="default" w:ascii="Times New Roman" w:hAnsi="Times New Roman" w:cs="Times New Roman"/>
        </w:rPr>
        <w:t>。</w:t>
      </w:r>
    </w:p>
    <w:p>
      <w:pPr>
        <w:pStyle w:val="5"/>
        <w:ind w:firstLine="643"/>
        <w:rPr>
          <w:rFonts w:hint="default" w:ascii="Times New Roman" w:hAnsi="Times New Roman" w:cs="Times New Roman"/>
        </w:rPr>
      </w:pPr>
      <w:r>
        <w:rPr>
          <w:rFonts w:hint="default" w:ascii="Times New Roman" w:hAnsi="Times New Roman" w:cs="Times New Roman"/>
        </w:rPr>
        <w:t>2.可持续影响</w:t>
      </w:r>
    </w:p>
    <w:p>
      <w:pPr>
        <w:ind w:firstLine="643"/>
        <w:rPr>
          <w:rFonts w:hint="default" w:ascii="Times New Roman" w:hAnsi="Times New Roman" w:cs="Times New Roman"/>
        </w:rPr>
      </w:pPr>
      <w:r>
        <w:rPr>
          <w:rFonts w:hint="default" w:ascii="Times New Roman" w:hAnsi="Times New Roman" w:cs="Times New Roman"/>
          <w:b/>
          <w:bCs/>
        </w:rPr>
        <w:t>“D21河渠养护机制健全性”</w:t>
      </w:r>
      <w:r>
        <w:rPr>
          <w:rFonts w:hint="default" w:ascii="Times New Roman" w:hAnsi="Times New Roman" w:cs="Times New Roman"/>
        </w:rPr>
        <w:t>指标权重值6分，评价得分</w:t>
      </w:r>
      <w:r>
        <w:rPr>
          <w:rFonts w:hint="default" w:ascii="Times New Roman" w:hAnsi="Times New Roman" w:cs="Times New Roman"/>
          <w:lang w:val="en-US" w:eastAsia="zh-CN"/>
        </w:rPr>
        <w:t>5</w:t>
      </w:r>
      <w:r>
        <w:rPr>
          <w:rFonts w:hint="default" w:ascii="Times New Roman" w:hAnsi="Times New Roman" w:cs="Times New Roman"/>
        </w:rPr>
        <w:t>分。项目单位制定有河渠养护规划及目标，但规划内容过于简单，对优化养护模式、养护质量提升、成本控制等方面均未明确，未建立相关部门的有效沟通机制。依据评分标准，该项指标得5分。</w:t>
      </w:r>
    </w:p>
    <w:p>
      <w:pPr>
        <w:pStyle w:val="5"/>
        <w:ind w:firstLine="643"/>
        <w:rPr>
          <w:rFonts w:hint="default" w:ascii="Times New Roman" w:hAnsi="Times New Roman" w:cs="Times New Roman"/>
        </w:rPr>
      </w:pPr>
      <w:r>
        <w:rPr>
          <w:rFonts w:hint="default" w:ascii="Times New Roman" w:hAnsi="Times New Roman" w:cs="Times New Roman"/>
        </w:rPr>
        <w:t>3.满意度</w:t>
      </w:r>
    </w:p>
    <w:p>
      <w:pPr>
        <w:ind w:firstLine="643"/>
        <w:rPr>
          <w:rFonts w:hint="default" w:ascii="Times New Roman" w:hAnsi="Times New Roman" w:cs="Times New Roman"/>
        </w:rPr>
      </w:pPr>
      <w:r>
        <w:rPr>
          <w:rFonts w:hint="default" w:ascii="Times New Roman" w:hAnsi="Times New Roman" w:cs="Times New Roman"/>
          <w:b/>
          <w:bCs/>
        </w:rPr>
        <w:t>“D31市民满意度”</w:t>
      </w:r>
      <w:r>
        <w:rPr>
          <w:rFonts w:hint="default" w:ascii="Times New Roman" w:hAnsi="Times New Roman" w:cs="Times New Roman"/>
        </w:rPr>
        <w:t>指标权重值5分，评价得分3.75分。根据问卷调查，市民对河渠养护的满意度为8</w:t>
      </w:r>
      <w:r>
        <w:rPr>
          <w:rFonts w:hint="default" w:ascii="Times New Roman" w:hAnsi="Times New Roman" w:cs="Times New Roman"/>
          <w:lang w:val="en-US" w:eastAsia="zh-CN"/>
        </w:rPr>
        <w:t>5</w:t>
      </w:r>
      <w:r>
        <w:rPr>
          <w:rFonts w:hint="default" w:ascii="Times New Roman" w:hAnsi="Times New Roman" w:cs="Times New Roman"/>
        </w:rPr>
        <w:t>%，依据评分标准，该项指标得3.75分。</w:t>
      </w:r>
    </w:p>
    <w:p>
      <w:pPr>
        <w:ind w:firstLine="643"/>
        <w:rPr>
          <w:rFonts w:hint="default" w:ascii="Times New Roman" w:hAnsi="Times New Roman" w:cs="Times New Roman"/>
        </w:rPr>
      </w:pPr>
      <w:r>
        <w:rPr>
          <w:rFonts w:hint="default" w:ascii="Times New Roman" w:hAnsi="Times New Roman" w:cs="Times New Roman"/>
          <w:b/>
          <w:bCs/>
        </w:rPr>
        <w:t>“D32购买方满意度”</w:t>
      </w:r>
      <w:r>
        <w:rPr>
          <w:rFonts w:hint="default" w:ascii="Times New Roman" w:hAnsi="Times New Roman" w:cs="Times New Roman"/>
        </w:rPr>
        <w:t>指标权重值5分，评价得分5分。依据问卷调查项目单位对本项目的满意度在90%以上。依据评分标准该项指标得5分。</w:t>
      </w:r>
    </w:p>
    <w:p>
      <w:pPr>
        <w:pStyle w:val="16"/>
        <w:spacing w:line="560" w:lineRule="exact"/>
        <w:ind w:firstLine="640"/>
        <w:outlineLvl w:val="0"/>
        <w:rPr>
          <w:rFonts w:hint="default" w:ascii="Times New Roman" w:hAnsi="Times New Roman" w:eastAsia="黑体" w:cs="Times New Roman"/>
          <w:sz w:val="32"/>
          <w:szCs w:val="32"/>
          <w:lang w:eastAsia="zh-CN"/>
        </w:rPr>
      </w:pPr>
      <w:bookmarkStart w:id="107" w:name="_Toc18706"/>
      <w:bookmarkStart w:id="108" w:name="_Toc19638"/>
      <w:bookmarkStart w:id="109" w:name="_Toc19674"/>
      <w:bookmarkStart w:id="110" w:name="_Toc91522502"/>
      <w:bookmarkStart w:id="111" w:name="_Toc64"/>
      <w:r>
        <w:rPr>
          <w:rFonts w:hint="default" w:ascii="Times New Roman" w:hAnsi="Times New Roman" w:eastAsia="黑体" w:cs="Times New Roman"/>
          <w:sz w:val="32"/>
          <w:szCs w:val="32"/>
          <w:lang w:eastAsia="zh-CN"/>
        </w:rPr>
        <w:t>五、主要经验及做法、存在的问题及原因分析</w:t>
      </w:r>
      <w:bookmarkEnd w:id="107"/>
      <w:bookmarkEnd w:id="108"/>
      <w:bookmarkEnd w:id="109"/>
      <w:bookmarkEnd w:id="110"/>
      <w:bookmarkEnd w:id="111"/>
    </w:p>
    <w:p>
      <w:pPr>
        <w:widowControl w:val="0"/>
        <w:ind w:firstLine="643"/>
        <w:rPr>
          <w:rFonts w:hint="default" w:ascii="Times New Roman" w:hAnsi="Times New Roman" w:eastAsia="楷体_GB2312" w:cs="Times New Roman"/>
          <w:b/>
          <w:bCs/>
          <w:szCs w:val="32"/>
        </w:rPr>
      </w:pPr>
      <w:r>
        <w:rPr>
          <w:rFonts w:hint="default" w:ascii="Times New Roman" w:hAnsi="Times New Roman" w:eastAsia="楷体_GB2312" w:cs="Times New Roman"/>
          <w:b/>
          <w:bCs/>
          <w:kern w:val="2"/>
          <w:szCs w:val="32"/>
          <w:lang w:bidi="ar"/>
        </w:rPr>
        <w:t>（一）主要经验及做法</w:t>
      </w:r>
    </w:p>
    <w:p>
      <w:pPr>
        <w:widowControl w:val="0"/>
        <w:ind w:firstLine="643"/>
        <w:rPr>
          <w:rFonts w:hint="default" w:ascii="Times New Roman" w:hAnsi="Times New Roman" w:cs="Times New Roman"/>
          <w:b/>
          <w:bCs/>
          <w:kern w:val="2"/>
          <w:lang w:bidi="ar"/>
        </w:rPr>
      </w:pPr>
      <w:r>
        <w:rPr>
          <w:rFonts w:hint="default" w:ascii="Times New Roman" w:hAnsi="Times New Roman" w:cs="Times New Roman"/>
          <w:b/>
          <w:bCs/>
          <w:kern w:val="2"/>
          <w:lang w:bidi="ar"/>
        </w:rPr>
        <w:t>养护标准完整，考核制度完善</w:t>
      </w:r>
    </w:p>
    <w:p>
      <w:pPr>
        <w:widowControl w:val="0"/>
        <w:ind w:firstLine="640"/>
        <w:rPr>
          <w:rFonts w:hint="default" w:ascii="Times New Roman" w:hAnsi="Times New Roman" w:cs="Times New Roman"/>
          <w:szCs w:val="28"/>
          <w:lang w:bidi="ar"/>
        </w:rPr>
      </w:pPr>
      <w:r>
        <w:rPr>
          <w:rFonts w:hint="default" w:ascii="Times New Roman" w:hAnsi="Times New Roman" w:cs="Times New Roman"/>
          <w:szCs w:val="28"/>
          <w:lang w:bidi="ar"/>
        </w:rPr>
        <w:t>新乡市河渠中心制定有《社会化养护管理标准》和《社会化管理养护督查考评暂行办法》。《社会化养护管理标准》中对绿化养护标准、卫生保洁标准、设施设备维护标准、人员及设备机械要求等养护内容进行了详细规定，养护单位在开展养护工作时有明确的参考标准。《社会化管理养护督察考评暂行办法》对督察考评范围、要求、内容以及扣分标准进行了明确规定，考核标准明确，考核制度完善。</w:t>
      </w:r>
    </w:p>
    <w:p>
      <w:pPr>
        <w:widowControl w:val="0"/>
        <w:ind w:firstLine="643"/>
        <w:rPr>
          <w:rFonts w:hint="default" w:ascii="Times New Roman" w:hAnsi="Times New Roman" w:eastAsia="楷体_GB2312" w:cs="Times New Roman"/>
          <w:b/>
          <w:bCs/>
          <w:szCs w:val="32"/>
        </w:rPr>
      </w:pPr>
      <w:r>
        <w:rPr>
          <w:rFonts w:hint="default" w:ascii="Times New Roman" w:hAnsi="Times New Roman" w:eastAsia="楷体_GB2312" w:cs="Times New Roman"/>
          <w:b/>
          <w:bCs/>
          <w:kern w:val="2"/>
          <w:szCs w:val="32"/>
          <w:lang w:bidi="ar"/>
        </w:rPr>
        <w:t>（二）存在的问题</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1.项目决策层面</w:t>
      </w:r>
    </w:p>
    <w:p>
      <w:pPr>
        <w:widowControl w:val="0"/>
        <w:ind w:firstLine="643"/>
        <w:rPr>
          <w:rFonts w:hint="default" w:ascii="Times New Roman" w:hAnsi="Times New Roman" w:eastAsia="仿宋_GB2312" w:cs="Times New Roman"/>
          <w:b/>
          <w:bCs/>
          <w:kern w:val="2"/>
          <w:szCs w:val="28"/>
          <w:highlight w:val="none"/>
          <w:lang w:val="en-US" w:eastAsia="zh-CN" w:bidi="ar"/>
        </w:rPr>
      </w:pP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1</w:t>
      </w: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预算申请依据不够合理</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根据市河渠中心提供的相关合同、批复及测算依据发现，对于岸坡绿化面积，按照新乡市统一的每平方米4元的标准进行测算，同时又按照每6500平方米安排1</w:t>
      </w:r>
      <w:r>
        <w:rPr>
          <w:rFonts w:hint="default" w:ascii="Times New Roman" w:hAnsi="Times New Roman" w:cs="Times New Roman"/>
          <w:kern w:val="2"/>
          <w:szCs w:val="28"/>
          <w:highlight w:val="none"/>
          <w:lang w:val="en-US" w:eastAsia="zh-CN" w:bidi="ar"/>
        </w:rPr>
        <w:t>名保洁员</w:t>
      </w:r>
      <w:r>
        <w:rPr>
          <w:rFonts w:hint="default" w:ascii="Times New Roman" w:hAnsi="Times New Roman" w:cs="Times New Roman"/>
          <w:kern w:val="2"/>
          <w:szCs w:val="28"/>
          <w:highlight w:val="none"/>
          <w:lang w:bidi="ar"/>
        </w:rPr>
        <w:t>进行人员配置。对于水面保洁，按照人员工资、打捞船油费、打捞船购买及养护费等费用</w:t>
      </w:r>
      <w:r>
        <w:rPr>
          <w:rFonts w:hint="default" w:ascii="Times New Roman" w:hAnsi="Times New Roman" w:cs="Times New Roman"/>
          <w:kern w:val="2"/>
          <w:szCs w:val="28"/>
          <w:highlight w:val="none"/>
          <w:lang w:val="en-US" w:eastAsia="zh-CN" w:bidi="ar"/>
        </w:rPr>
        <w:t>进行测算</w:t>
      </w:r>
      <w:r>
        <w:rPr>
          <w:rFonts w:hint="default" w:ascii="Times New Roman" w:hAnsi="Times New Roman" w:cs="Times New Roman"/>
          <w:kern w:val="2"/>
          <w:szCs w:val="28"/>
          <w:highlight w:val="none"/>
          <w:lang w:bidi="ar"/>
        </w:rPr>
        <w:t>，打捞船的购买经费在合同期内全部摊销完毕不够合理，该项费用不应全部由财政承担。因此，评价小组判断，该项目签订的合同价格不够公允，预算申请的依据不够合理。</w:t>
      </w:r>
    </w:p>
    <w:p>
      <w:pPr>
        <w:keepNext w:val="0"/>
        <w:keepLines w:val="0"/>
        <w:pageBreakBefore w:val="0"/>
        <w:widowControl w:val="0"/>
        <w:kinsoku/>
        <w:wordWrap/>
        <w:overflowPunct/>
        <w:topLinePunct w:val="0"/>
        <w:autoSpaceDE/>
        <w:autoSpaceDN/>
        <w:bidi w:val="0"/>
        <w:adjustRightInd/>
        <w:snapToGrid/>
        <w:ind w:firstLine="643"/>
        <w:textAlignment w:val="auto"/>
        <w:rPr>
          <w:rFonts w:hint="default" w:ascii="Times New Roman" w:hAnsi="Times New Roman" w:eastAsia="仿宋_GB2312" w:cs="Times New Roman"/>
          <w:b/>
          <w:bCs/>
          <w:kern w:val="2"/>
          <w:szCs w:val="28"/>
          <w:highlight w:val="none"/>
          <w:lang w:eastAsia="zh-CN"/>
        </w:rPr>
      </w:pPr>
      <w:r>
        <w:rPr>
          <w:rFonts w:hint="default" w:ascii="Times New Roman" w:hAnsi="Times New Roman" w:cs="Times New Roman"/>
          <w:b/>
          <w:bCs/>
          <w:kern w:val="2"/>
          <w:szCs w:val="28"/>
          <w:highlight w:val="none"/>
          <w:lang w:bidi="ar"/>
        </w:rPr>
        <w:t>（</w:t>
      </w:r>
      <w:r>
        <w:rPr>
          <w:rFonts w:hint="default" w:ascii="Times New Roman" w:hAnsi="Times New Roman" w:cs="Times New Roman"/>
          <w:b/>
          <w:bCs/>
          <w:kern w:val="2"/>
          <w:szCs w:val="28"/>
          <w:highlight w:val="none"/>
          <w:lang w:val="en-US" w:eastAsia="zh-CN" w:bidi="ar"/>
        </w:rPr>
        <w:t>2</w:t>
      </w:r>
      <w:r>
        <w:rPr>
          <w:rFonts w:hint="default" w:ascii="Times New Roman" w:hAnsi="Times New Roman" w:cs="Times New Roman"/>
          <w:b/>
          <w:bCs/>
          <w:kern w:val="2"/>
          <w:szCs w:val="28"/>
          <w:highlight w:val="none"/>
          <w:lang w:bidi="ar"/>
        </w:rPr>
        <w:t>）绩效目标填写不</w:t>
      </w:r>
      <w:r>
        <w:rPr>
          <w:rFonts w:hint="default" w:ascii="Times New Roman" w:hAnsi="Times New Roman" w:cs="Times New Roman"/>
          <w:b/>
          <w:bCs/>
          <w:kern w:val="2"/>
          <w:szCs w:val="28"/>
          <w:highlight w:val="none"/>
          <w:lang w:val="en-US" w:eastAsia="zh-CN" w:bidi="ar"/>
        </w:rPr>
        <w:t>规范</w:t>
      </w:r>
    </w:p>
    <w:p>
      <w:pPr>
        <w:keepNext w:val="0"/>
        <w:keepLines w:val="0"/>
        <w:pageBreakBefore w:val="0"/>
        <w:widowControl/>
        <w:kinsoku/>
        <w:wordWrap/>
        <w:overflowPunct/>
        <w:topLinePunct w:val="0"/>
        <w:autoSpaceDE/>
        <w:autoSpaceDN/>
        <w:bidi w:val="0"/>
        <w:adjustRightInd/>
        <w:snapToGrid/>
        <w:ind w:firstLine="640"/>
        <w:textAlignment w:val="auto"/>
        <w:rPr>
          <w:rFonts w:hint="default" w:ascii="Times New Roman" w:hAnsi="Times New Roman" w:cs="Times New Roman"/>
          <w:highlight w:val="none"/>
          <w:lang w:bidi="ar"/>
        </w:rPr>
      </w:pPr>
      <w:r>
        <w:rPr>
          <w:rFonts w:hint="default" w:ascii="Times New Roman" w:hAnsi="Times New Roman" w:cs="Times New Roman"/>
          <w:highlight w:val="none"/>
          <w:lang w:bidi="ar"/>
        </w:rPr>
        <w:t>根据项目单位提供的绩效目标发现，</w:t>
      </w:r>
      <w:r>
        <w:rPr>
          <w:rFonts w:hint="default" w:ascii="Times New Roman" w:hAnsi="Times New Roman" w:cs="Times New Roman"/>
          <w:b/>
          <w:bCs/>
          <w:highlight w:val="none"/>
          <w:lang w:bidi="ar"/>
        </w:rPr>
        <w:t>一是</w:t>
      </w:r>
      <w:r>
        <w:rPr>
          <w:rFonts w:hint="default" w:ascii="Times New Roman" w:hAnsi="Times New Roman" w:cs="Times New Roman"/>
          <w:highlight w:val="none"/>
          <w:lang w:bidi="ar"/>
        </w:rPr>
        <w:t>年度目标设置为“确保市区河渠环境优美”，目标过于简单，无法衡量，对于年度内要开展的具体工作内容未体现；</w:t>
      </w:r>
      <w:r>
        <w:rPr>
          <w:rFonts w:hint="default" w:ascii="Times New Roman" w:hAnsi="Times New Roman" w:cs="Times New Roman"/>
          <w:b/>
          <w:bCs/>
          <w:highlight w:val="none"/>
          <w:lang w:bidi="ar"/>
        </w:rPr>
        <w:t>二是</w:t>
      </w:r>
      <w:r>
        <w:rPr>
          <w:rFonts w:hint="default" w:ascii="Times New Roman" w:hAnsi="Times New Roman" w:cs="Times New Roman"/>
          <w:highlight w:val="none"/>
          <w:lang w:bidi="ar"/>
        </w:rPr>
        <w:t>时效指标设置为“‘数字河管’结案率100%、‘数字城管’结案率100%”，该指标与工作时效无关。</w:t>
      </w:r>
      <w:r>
        <w:rPr>
          <w:rFonts w:hint="default" w:ascii="Times New Roman" w:hAnsi="Times New Roman" w:cs="Times New Roman"/>
          <w:highlight w:val="none"/>
        </w:rPr>
        <w:t>绩效目标填写的不规范，不利于发挥绩效目标对于实际工作开展的指导、督促作用。</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2.项目管理层面</w:t>
      </w:r>
    </w:p>
    <w:p>
      <w:pPr>
        <w:keepNext w:val="0"/>
        <w:keepLines w:val="0"/>
        <w:pageBreakBefore w:val="0"/>
        <w:widowControl/>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b/>
          <w:bCs/>
          <w:kern w:val="2"/>
          <w:sz w:val="32"/>
          <w:szCs w:val="28"/>
          <w:highlight w:val="none"/>
          <w:lang w:val="en-US" w:eastAsia="zh-CN" w:bidi="ar-SA"/>
        </w:rPr>
      </w:pPr>
      <w:r>
        <w:rPr>
          <w:rFonts w:hint="default" w:ascii="Times New Roman" w:hAnsi="Times New Roman" w:eastAsia="仿宋_GB2312" w:cs="Times New Roman"/>
          <w:b/>
          <w:bCs/>
          <w:kern w:val="2"/>
          <w:sz w:val="32"/>
          <w:szCs w:val="28"/>
          <w:highlight w:val="none"/>
          <w:lang w:val="en-US" w:eastAsia="zh-CN" w:bidi="ar-SA"/>
        </w:rPr>
        <w:t>（</w:t>
      </w:r>
      <w:r>
        <w:rPr>
          <w:rFonts w:hint="default" w:ascii="Times New Roman" w:hAnsi="Times New Roman" w:cs="Times New Roman"/>
          <w:b/>
          <w:bCs/>
          <w:kern w:val="2"/>
          <w:sz w:val="32"/>
          <w:szCs w:val="28"/>
          <w:highlight w:val="none"/>
          <w:lang w:val="en-US" w:eastAsia="zh-CN" w:bidi="ar-SA"/>
        </w:rPr>
        <w:t>3</w:t>
      </w:r>
      <w:r>
        <w:rPr>
          <w:rFonts w:hint="default" w:ascii="Times New Roman" w:hAnsi="Times New Roman" w:eastAsia="仿宋_GB2312" w:cs="Times New Roman"/>
          <w:b/>
          <w:bCs/>
          <w:kern w:val="2"/>
          <w:sz w:val="32"/>
          <w:szCs w:val="28"/>
          <w:highlight w:val="none"/>
          <w:lang w:val="en-US" w:eastAsia="zh-CN" w:bidi="ar-SA"/>
        </w:rPr>
        <w:t>）资源配置与</w:t>
      </w:r>
      <w:r>
        <w:rPr>
          <w:rFonts w:hint="default" w:ascii="Times New Roman" w:hAnsi="Times New Roman" w:cs="Times New Roman"/>
          <w:b/>
          <w:bCs/>
          <w:kern w:val="2"/>
          <w:sz w:val="32"/>
          <w:szCs w:val="28"/>
          <w:highlight w:val="none"/>
          <w:lang w:val="en-US" w:eastAsia="zh-CN" w:bidi="ar-SA"/>
        </w:rPr>
        <w:t>合同约定有偏差</w:t>
      </w:r>
    </w:p>
    <w:p>
      <w:pPr>
        <w:keepNext w:val="0"/>
        <w:keepLines w:val="0"/>
        <w:pageBreakBefore w:val="0"/>
        <w:widowControl/>
        <w:kinsoku/>
        <w:wordWrap/>
        <w:overflowPunct/>
        <w:topLinePunct w:val="0"/>
        <w:autoSpaceDE/>
        <w:autoSpaceDN/>
        <w:bidi w:val="0"/>
        <w:adjustRightInd/>
        <w:snapToGrid/>
        <w:ind w:firstLine="640"/>
        <w:textAlignment w:val="auto"/>
        <w:rPr>
          <w:rFonts w:hint="default" w:ascii="Times New Roman" w:hAnsi="Times New Roman" w:cs="Times New Roman"/>
          <w:highlight w:val="none"/>
          <w:lang w:val="en-US" w:eastAsia="zh-CN" w:bidi="ar"/>
        </w:rPr>
      </w:pPr>
      <w:r>
        <w:rPr>
          <w:rFonts w:hint="default" w:ascii="Times New Roman" w:hAnsi="Times New Roman" w:cs="Times New Roman"/>
          <w:highlight w:val="none"/>
          <w:lang w:val="en-US" w:eastAsia="zh-CN" w:bidi="ar"/>
        </w:rPr>
        <w:t>经现场走访，社会化养护项目中资源配置与约定配置不一致。主要体现在两方面，一是人员配置与约定不一致，实际配备养护人员数量低于投标文件中配备的工作人员数量。如新五赵定桥至金穗赵定桥段，下午三点至五点间未见保洁人员或绿地养护人员等相关工作人员。新一街段合同约定卫生保洁人员3名、绿化养护人员6名、设施维修人员2名，其他人员2名，现场勘查发现，卫生保洁人员共2名，绿化养护人员共2名，监督检查人员1名，未见其他相关工作人员，且养护人员及保洁人员年龄普遍偏大；二是设备配备与合同约定不符，合同约定打捞船为燃油船，且年度燃油费用52.0125万元。但现场勘查发现新一街段打捞船为人力船，且兰示段、卫河段打捞船损坏未及时维修。</w:t>
      </w:r>
    </w:p>
    <w:p>
      <w:pPr>
        <w:widowControl w:val="0"/>
        <w:ind w:firstLine="643"/>
        <w:rPr>
          <w:rFonts w:hint="default" w:ascii="Times New Roman" w:hAnsi="Times New Roman" w:eastAsia="仿宋_GB2312" w:cs="Times New Roman"/>
          <w:b/>
          <w:bCs/>
          <w:kern w:val="2"/>
          <w:szCs w:val="28"/>
          <w:highlight w:val="none"/>
          <w:lang w:val="en-US" w:eastAsia="zh-CN"/>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4</w:t>
      </w:r>
      <w:r>
        <w:rPr>
          <w:rFonts w:hint="default" w:ascii="Times New Roman" w:hAnsi="Times New Roman" w:cs="Times New Roman"/>
          <w:b/>
          <w:bCs/>
          <w:kern w:val="2"/>
          <w:szCs w:val="28"/>
          <w:highlight w:val="none"/>
        </w:rPr>
        <w:t>）项目考核验收</w:t>
      </w:r>
      <w:r>
        <w:rPr>
          <w:rFonts w:hint="default" w:ascii="Times New Roman" w:hAnsi="Times New Roman" w:cs="Times New Roman"/>
          <w:b/>
          <w:bCs/>
          <w:kern w:val="2"/>
          <w:szCs w:val="28"/>
          <w:highlight w:val="none"/>
          <w:lang w:val="en-US" w:eastAsia="zh-CN"/>
        </w:rPr>
        <w:t>不严谨</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根据项目单位提供的养护合同，项目单位依据《社会化管理养护监督考评暂行办法》每季度对各标段养护成果进行验收并出具验收报告。但项目单位提供的验收报告显示，卫河段2021年11月18日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2022年2月18日的养护成果于2022年4月7日验收，且2022年8月24日为该河段出具了2022年2月18日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2022年5月18日和2022年5</w:t>
      </w:r>
      <w:r>
        <w:rPr>
          <w:rFonts w:hint="default" w:ascii="Times New Roman" w:hAnsi="Times New Roman" w:cs="Times New Roman"/>
          <w:kern w:val="2"/>
          <w:szCs w:val="28"/>
          <w:highlight w:val="none"/>
          <w:lang w:eastAsia="zh-CN" w:bidi="ar"/>
        </w:rPr>
        <w:t>月18日—</w:t>
      </w:r>
      <w:r>
        <w:rPr>
          <w:rFonts w:hint="default" w:ascii="Times New Roman" w:hAnsi="Times New Roman" w:cs="Times New Roman"/>
          <w:kern w:val="2"/>
          <w:szCs w:val="28"/>
          <w:highlight w:val="none"/>
          <w:lang w:bidi="ar"/>
        </w:rPr>
        <w:t>2022年8月18日两个季度的验收报告；赵定河兰示段2022年5月29日</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bidi="ar"/>
        </w:rPr>
        <w:t>2022年8月29日的养护成果，于2022年8月24日进行验收。</w:t>
      </w:r>
      <w:r>
        <w:rPr>
          <w:rFonts w:hint="default" w:ascii="Times New Roman" w:hAnsi="Times New Roman" w:cs="Times New Roman"/>
          <w:kern w:val="2"/>
          <w:szCs w:val="28"/>
          <w:highlight w:val="none"/>
          <w:lang w:val="en-US" w:eastAsia="zh-CN" w:bidi="ar"/>
        </w:rPr>
        <w:t>项目考核验收不够严谨</w:t>
      </w:r>
      <w:r>
        <w:rPr>
          <w:rFonts w:hint="default" w:ascii="Times New Roman" w:hAnsi="Times New Roman" w:cs="Times New Roman"/>
          <w:kern w:val="2"/>
          <w:szCs w:val="28"/>
          <w:highlight w:val="none"/>
          <w:lang w:bidi="ar"/>
        </w:rPr>
        <w:t>，验收时间存在滞后、超前等不规范现象。</w:t>
      </w:r>
    </w:p>
    <w:p>
      <w:pPr>
        <w:widowControl w:val="0"/>
        <w:ind w:firstLine="643"/>
        <w:rPr>
          <w:rFonts w:hint="default" w:ascii="Times New Roman" w:hAnsi="Times New Roman" w:eastAsia="仿宋_GB2312" w:cs="Times New Roman"/>
          <w:b/>
          <w:bCs/>
          <w:kern w:val="2"/>
          <w:szCs w:val="28"/>
          <w:highlight w:val="none"/>
          <w:lang w:val="en-US" w:eastAsia="zh-CN"/>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5</w:t>
      </w:r>
      <w:r>
        <w:rPr>
          <w:rFonts w:hint="default" w:ascii="Times New Roman" w:hAnsi="Times New Roman" w:cs="Times New Roman"/>
          <w:b/>
          <w:bCs/>
          <w:kern w:val="2"/>
          <w:szCs w:val="28"/>
          <w:highlight w:val="none"/>
        </w:rPr>
        <w:t>）月评比资料齐全，</w:t>
      </w:r>
      <w:r>
        <w:rPr>
          <w:rFonts w:hint="default" w:ascii="Times New Roman" w:hAnsi="Times New Roman" w:cs="Times New Roman"/>
          <w:b/>
          <w:bCs/>
          <w:kern w:val="2"/>
          <w:szCs w:val="28"/>
          <w:highlight w:val="none"/>
          <w:lang w:val="en-US" w:eastAsia="zh-CN"/>
        </w:rPr>
        <w:t>但与实际情况有偏差</w:t>
      </w:r>
    </w:p>
    <w:p>
      <w:pPr>
        <w:widowControl w:val="0"/>
        <w:ind w:firstLine="640"/>
        <w:rPr>
          <w:rFonts w:hint="default" w:ascii="Times New Roman" w:hAnsi="Times New Roman" w:eastAsia="仿宋_GB2312" w:cs="Times New Roman"/>
          <w:kern w:val="2"/>
          <w:szCs w:val="28"/>
          <w:highlight w:val="none"/>
          <w:lang w:val="en-US" w:eastAsia="zh-CN" w:bidi="ar"/>
        </w:rPr>
      </w:pPr>
      <w:r>
        <w:rPr>
          <w:rFonts w:hint="default" w:ascii="Times New Roman" w:hAnsi="Times New Roman" w:cs="Times New Roman"/>
          <w:kern w:val="2"/>
          <w:szCs w:val="28"/>
          <w:highlight w:val="none"/>
          <w:lang w:bidi="ar"/>
        </w:rPr>
        <w:t>项目单位依据《新乡市市区河渠综合事务中心社会化管理养护督察考评暂行办法》对各养护单位进行月评比并打分，评比中出现反馈问题未解决，需要二次派遣时，会依据</w:t>
      </w:r>
      <w:r>
        <w:rPr>
          <w:rFonts w:hint="default" w:ascii="Times New Roman" w:hAnsi="Times New Roman" w:cs="Times New Roman"/>
          <w:kern w:val="2"/>
          <w:szCs w:val="28"/>
          <w:highlight w:val="none"/>
          <w:lang w:val="en-US" w:eastAsia="zh-CN" w:bidi="ar"/>
        </w:rPr>
        <w:t>考评</w:t>
      </w:r>
      <w:r>
        <w:rPr>
          <w:rFonts w:hint="default" w:ascii="Times New Roman" w:hAnsi="Times New Roman" w:cs="Times New Roman"/>
          <w:kern w:val="2"/>
          <w:szCs w:val="28"/>
          <w:highlight w:val="none"/>
          <w:lang w:bidi="ar"/>
        </w:rPr>
        <w:t>标准扣分并罚款。但月评比打分表中2022年未出现二次派遣扣分</w:t>
      </w:r>
      <w:r>
        <w:rPr>
          <w:rFonts w:hint="default" w:ascii="Times New Roman" w:hAnsi="Times New Roman" w:cs="Times New Roman"/>
          <w:kern w:val="2"/>
          <w:szCs w:val="28"/>
          <w:highlight w:val="none"/>
          <w:lang w:val="en-US" w:eastAsia="zh-CN" w:bidi="ar"/>
        </w:rPr>
        <w:t>情况</w:t>
      </w:r>
      <w:r>
        <w:rPr>
          <w:rFonts w:hint="default" w:ascii="Times New Roman" w:hAnsi="Times New Roman" w:cs="Times New Roman"/>
          <w:kern w:val="2"/>
          <w:szCs w:val="28"/>
          <w:highlight w:val="none"/>
          <w:lang w:bidi="ar"/>
        </w:rPr>
        <w:t>，实际</w:t>
      </w:r>
      <w:r>
        <w:rPr>
          <w:rFonts w:hint="default" w:ascii="Times New Roman" w:hAnsi="Times New Roman" w:cs="Times New Roman"/>
          <w:kern w:val="2"/>
          <w:szCs w:val="28"/>
          <w:highlight w:val="none"/>
          <w:lang w:val="en-US" w:eastAsia="zh-CN" w:bidi="ar"/>
        </w:rPr>
        <w:t>管理简报显示有二次派遣现象</w:t>
      </w:r>
      <w:r>
        <w:rPr>
          <w:rFonts w:hint="default" w:ascii="Times New Roman" w:hAnsi="Times New Roman" w:cs="Times New Roman"/>
          <w:kern w:val="2"/>
          <w:szCs w:val="28"/>
          <w:highlight w:val="none"/>
          <w:lang w:eastAsia="zh-CN" w:bidi="ar"/>
        </w:rPr>
        <w:t>；</w:t>
      </w:r>
      <w:r>
        <w:rPr>
          <w:rFonts w:hint="default" w:ascii="Times New Roman" w:hAnsi="Times New Roman" w:cs="Times New Roman"/>
          <w:kern w:val="2"/>
          <w:szCs w:val="28"/>
          <w:highlight w:val="none"/>
          <w:lang w:val="en-US" w:eastAsia="zh-CN" w:bidi="ar"/>
        </w:rPr>
        <w:t>且“数字城管”“数字河管”案发情况在月评比打分表中均未体现</w:t>
      </w:r>
      <w:r>
        <w:rPr>
          <w:rFonts w:hint="default" w:ascii="Times New Roman" w:hAnsi="Times New Roman" w:cs="Times New Roman"/>
          <w:b w:val="0"/>
          <w:bCs w:val="0"/>
          <w:kern w:val="2"/>
          <w:szCs w:val="28"/>
          <w:highlight w:val="none"/>
          <w:lang w:val="en-US" w:eastAsia="zh-CN" w:bidi="ar"/>
        </w:rPr>
        <w:t>。月评比虽资料齐全，但打分结果与实际情况有偏差。</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3.河渠市场化养护机制不健全</w:t>
      </w:r>
    </w:p>
    <w:p>
      <w:pPr>
        <w:widowControl w:val="0"/>
        <w:ind w:firstLine="643"/>
        <w:rPr>
          <w:rFonts w:hint="default" w:ascii="Times New Roman" w:hAnsi="Times New Roman" w:cs="Times New Roman"/>
          <w:b/>
          <w:bCs/>
          <w:kern w:val="2"/>
          <w:szCs w:val="28"/>
          <w:highlight w:val="none"/>
        </w:rPr>
      </w:pPr>
      <w:r>
        <w:rPr>
          <w:rFonts w:hint="default" w:ascii="Times New Roman" w:hAnsi="Times New Roman" w:cs="Times New Roman"/>
          <w:b/>
          <w:bCs/>
          <w:kern w:val="2"/>
          <w:szCs w:val="28"/>
          <w:highlight w:val="none"/>
        </w:rPr>
        <w:t>（</w:t>
      </w:r>
      <w:r>
        <w:rPr>
          <w:rFonts w:hint="default" w:ascii="Times New Roman" w:hAnsi="Times New Roman" w:cs="Times New Roman"/>
          <w:b/>
          <w:bCs/>
          <w:kern w:val="2"/>
          <w:szCs w:val="28"/>
          <w:highlight w:val="none"/>
          <w:lang w:val="en-US" w:eastAsia="zh-CN"/>
        </w:rPr>
        <w:t>6</w:t>
      </w:r>
      <w:r>
        <w:rPr>
          <w:rFonts w:hint="default" w:ascii="Times New Roman" w:hAnsi="Times New Roman" w:cs="Times New Roman"/>
          <w:b/>
          <w:bCs/>
          <w:kern w:val="2"/>
          <w:szCs w:val="28"/>
          <w:highlight w:val="none"/>
        </w:rPr>
        <w:t>）中长期发展规划不完整</w:t>
      </w:r>
    </w:p>
    <w:p>
      <w:pPr>
        <w:widowControl w:val="0"/>
        <w:ind w:firstLine="640"/>
        <w:rPr>
          <w:rFonts w:hint="default" w:ascii="Times New Roman" w:hAnsi="Times New Roman" w:cs="Times New Roman"/>
          <w:kern w:val="2"/>
          <w:szCs w:val="28"/>
          <w:highlight w:val="none"/>
          <w:lang w:bidi="ar"/>
        </w:rPr>
      </w:pPr>
      <w:r>
        <w:rPr>
          <w:rFonts w:hint="default" w:ascii="Times New Roman" w:hAnsi="Times New Roman" w:cs="Times New Roman"/>
          <w:kern w:val="2"/>
          <w:szCs w:val="28"/>
          <w:highlight w:val="none"/>
          <w:lang w:bidi="ar"/>
        </w:rPr>
        <w:t>项目单位制定有河渠养护目标与规划，但规划内容过于宽泛，对项目实施的目标定位不够清晰，未制定对应的工作计划，不能有效推动该项目朝着既定的方向发展。</w:t>
      </w:r>
    </w:p>
    <w:p>
      <w:pPr>
        <w:widowControl w:val="0"/>
        <w:ind w:firstLine="640"/>
        <w:outlineLvl w:val="0"/>
        <w:rPr>
          <w:rFonts w:hint="default" w:ascii="Times New Roman" w:hAnsi="Times New Roman" w:eastAsia="黑体" w:cs="Times New Roman"/>
          <w:szCs w:val="32"/>
          <w:highlight w:val="none"/>
        </w:rPr>
      </w:pPr>
      <w:r>
        <w:rPr>
          <w:rFonts w:hint="default" w:ascii="Times New Roman" w:hAnsi="Times New Roman" w:eastAsia="黑体" w:cs="Times New Roman"/>
          <w:kern w:val="2"/>
          <w:szCs w:val="32"/>
          <w:highlight w:val="none"/>
          <w:lang w:bidi="ar"/>
        </w:rPr>
        <w:t>六、有关建议</w:t>
      </w:r>
    </w:p>
    <w:p>
      <w:pPr>
        <w:keepNext w:val="0"/>
        <w:keepLines w:val="0"/>
        <w:pageBreakBefore w:val="0"/>
        <w:widowControl w:val="0"/>
        <w:kinsoku/>
        <w:wordWrap/>
        <w:overflowPunct/>
        <w:topLinePunct w:val="0"/>
        <w:bidi w:val="0"/>
        <w:snapToGrid/>
        <w:spacing w:line="560" w:lineRule="atLeast"/>
        <w:ind w:firstLine="643"/>
        <w:textAlignment w:val="auto"/>
        <w:outlineLvl w:val="1"/>
        <w:rPr>
          <w:rFonts w:hint="default" w:ascii="Times New Roman" w:hAnsi="Times New Roman" w:eastAsia="楷体_GB2312" w:cs="Times New Roman"/>
          <w:b/>
          <w:bCs/>
          <w:kern w:val="2"/>
          <w:highlight w:val="none"/>
          <w:lang w:bidi="ar"/>
        </w:rPr>
      </w:pPr>
      <w:r>
        <w:rPr>
          <w:rFonts w:hint="default" w:ascii="Times New Roman" w:hAnsi="Times New Roman" w:eastAsia="楷体_GB2312" w:cs="Times New Roman"/>
          <w:b/>
          <w:bCs/>
          <w:kern w:val="2"/>
          <w:szCs w:val="32"/>
          <w:highlight w:val="none"/>
        </w:rPr>
        <w:t>（一）</w:t>
      </w:r>
      <w:r>
        <w:rPr>
          <w:rFonts w:hint="default" w:ascii="Times New Roman" w:hAnsi="Times New Roman" w:eastAsia="楷体_GB2312" w:cs="Times New Roman"/>
          <w:b/>
          <w:bCs/>
          <w:kern w:val="2"/>
          <w:highlight w:val="none"/>
          <w:lang w:bidi="ar"/>
        </w:rPr>
        <w:t>合理设置绩效目标，规范设置绩效指标</w:t>
      </w:r>
    </w:p>
    <w:p>
      <w:pPr>
        <w:keepNext w:val="0"/>
        <w:keepLines w:val="0"/>
        <w:pageBreakBefore w:val="0"/>
        <w:kinsoku/>
        <w:wordWrap/>
        <w:overflowPunct/>
        <w:topLinePunct w:val="0"/>
        <w:bidi w:val="0"/>
        <w:snapToGrid/>
        <w:spacing w:line="560" w:lineRule="atLeast"/>
        <w:ind w:firstLine="640"/>
        <w:textAlignment w:val="auto"/>
        <w:rPr>
          <w:rFonts w:hint="default" w:ascii="Times New Roman" w:hAnsi="Times New Roman" w:cs="Times New Roman"/>
          <w:szCs w:val="32"/>
          <w:highlight w:val="none"/>
        </w:rPr>
      </w:pPr>
      <w:r>
        <w:rPr>
          <w:rFonts w:hint="default" w:ascii="Times New Roman" w:hAnsi="Times New Roman" w:cs="Times New Roman"/>
          <w:kern w:val="2"/>
          <w:highlight w:val="none"/>
          <w:lang w:bidi="ar"/>
        </w:rPr>
        <w:t>建议项目单位根据绩效目标设置原则，合理设置绩效指标，并从产出（产出数量、质量、成本、时效）、效益（经济效益、社会效益、生态效益、可持续影响、服务对象满意度）等方面进行细化，项目预期产出效益和效果符合正常的业绩水平。同时，定量指标尽量精准、量化衡量，定性指标应充分结合地方实际与项目特点细化、分解为多个考核维度，充分发挥绩效目标对于实际工作组织开展的指导、督促作用</w:t>
      </w:r>
      <w:r>
        <w:rPr>
          <w:rFonts w:hint="default" w:ascii="Times New Roman" w:hAnsi="Times New Roman" w:cs="Times New Roman"/>
          <w:szCs w:val="32"/>
          <w:highlight w:val="none"/>
        </w:rPr>
        <w:t>。</w:t>
      </w:r>
    </w:p>
    <w:p>
      <w:pPr>
        <w:keepNext w:val="0"/>
        <w:keepLines w:val="0"/>
        <w:pageBreakBefore w:val="0"/>
        <w:widowControl w:val="0"/>
        <w:kinsoku/>
        <w:wordWrap/>
        <w:overflowPunct/>
        <w:topLinePunct w:val="0"/>
        <w:bidi w:val="0"/>
        <w:snapToGrid/>
        <w:spacing w:line="560" w:lineRule="atLeast"/>
        <w:ind w:firstLine="643"/>
        <w:textAlignment w:val="auto"/>
        <w:outlineLvl w:val="1"/>
        <w:rPr>
          <w:rFonts w:hint="default" w:ascii="Times New Roman" w:hAnsi="Times New Roman" w:eastAsia="楷体_GB2312" w:cs="Times New Roman"/>
          <w:b/>
          <w:bCs/>
          <w:kern w:val="2"/>
          <w:szCs w:val="32"/>
          <w:highlight w:val="none"/>
        </w:rPr>
      </w:pPr>
      <w:r>
        <w:rPr>
          <w:rFonts w:hint="default" w:ascii="Times New Roman" w:hAnsi="Times New Roman" w:eastAsia="楷体_GB2312" w:cs="Times New Roman"/>
          <w:b/>
          <w:bCs/>
          <w:kern w:val="2"/>
          <w:szCs w:val="32"/>
          <w:highlight w:val="none"/>
        </w:rPr>
        <w:t>（二）加强项目监督管理，规范项目实施</w:t>
      </w:r>
    </w:p>
    <w:p>
      <w:pPr>
        <w:keepNext w:val="0"/>
        <w:keepLines w:val="0"/>
        <w:pageBreakBefore w:val="0"/>
        <w:widowControl w:val="0"/>
        <w:kinsoku/>
        <w:wordWrap/>
        <w:overflowPunct/>
        <w:topLinePunct w:val="0"/>
        <w:bidi w:val="0"/>
        <w:snapToGrid/>
        <w:spacing w:line="560" w:lineRule="atLeast"/>
        <w:ind w:firstLine="640"/>
        <w:textAlignment w:val="auto"/>
        <w:rPr>
          <w:rFonts w:hint="default" w:ascii="Times New Roman" w:hAnsi="Times New Roman" w:cs="Times New Roman"/>
          <w:kern w:val="2"/>
          <w:highlight w:val="none"/>
          <w:lang w:bidi="ar"/>
        </w:rPr>
      </w:pPr>
      <w:r>
        <w:rPr>
          <w:rFonts w:hint="default" w:ascii="Times New Roman" w:hAnsi="Times New Roman" w:cs="Times New Roman"/>
          <w:kern w:val="2"/>
          <w:highlight w:val="none"/>
          <w:lang w:bidi="ar"/>
        </w:rPr>
        <w:t>建议项目单位加强对养护项目的监管，严格按照养护管理标准和监督考核制度实施，将监管机制落到实处，强化养护质量的管理，并将监管台账保存完好，及时总结问题和经验，为项目的后续实施提供参考资料。</w:t>
      </w:r>
    </w:p>
    <w:p>
      <w:pPr>
        <w:keepNext w:val="0"/>
        <w:keepLines w:val="0"/>
        <w:pageBreakBefore w:val="0"/>
        <w:widowControl w:val="0"/>
        <w:kinsoku/>
        <w:wordWrap/>
        <w:overflowPunct/>
        <w:topLinePunct w:val="0"/>
        <w:bidi w:val="0"/>
        <w:snapToGrid/>
        <w:spacing w:line="560" w:lineRule="atLeast"/>
        <w:ind w:firstLine="643"/>
        <w:textAlignment w:val="auto"/>
        <w:outlineLvl w:val="1"/>
        <w:rPr>
          <w:rFonts w:hint="default" w:ascii="Times New Roman" w:hAnsi="Times New Roman" w:eastAsia="楷体_GB2312" w:cs="Times New Roman"/>
          <w:b/>
          <w:bCs/>
          <w:kern w:val="2"/>
          <w:highlight w:val="none"/>
          <w:lang w:bidi="ar"/>
        </w:rPr>
      </w:pPr>
      <w:r>
        <w:rPr>
          <w:rFonts w:hint="default" w:ascii="Times New Roman" w:hAnsi="Times New Roman" w:eastAsia="楷体_GB2312" w:cs="Times New Roman"/>
          <w:b/>
          <w:bCs/>
          <w:kern w:val="2"/>
          <w:highlight w:val="none"/>
          <w:lang w:bidi="ar"/>
        </w:rPr>
        <w:t>（三）按照验收标准，积极开展验收工作</w:t>
      </w:r>
    </w:p>
    <w:p>
      <w:pPr>
        <w:keepNext w:val="0"/>
        <w:keepLines w:val="0"/>
        <w:pageBreakBefore w:val="0"/>
        <w:widowControl w:val="0"/>
        <w:kinsoku/>
        <w:wordWrap/>
        <w:overflowPunct/>
        <w:topLinePunct w:val="0"/>
        <w:autoSpaceDE w:val="0"/>
        <w:autoSpaceDN w:val="0"/>
        <w:bidi w:val="0"/>
        <w:adjustRightInd w:val="0"/>
        <w:snapToGrid/>
        <w:spacing w:line="560" w:lineRule="atLeast"/>
        <w:ind w:firstLine="640" w:firstLineChars="200"/>
        <w:jc w:val="both"/>
        <w:textAlignment w:val="auto"/>
        <w:rPr>
          <w:rFonts w:hint="default" w:ascii="Times New Roman" w:hAnsi="Times New Roman" w:eastAsia="仿宋_GB2312" w:cs="Times New Roman"/>
          <w:color w:val="auto"/>
          <w:kern w:val="2"/>
          <w:sz w:val="32"/>
          <w:szCs w:val="22"/>
          <w:highlight w:val="none"/>
          <w:lang w:val="en-US" w:eastAsia="zh-CN" w:bidi="ar"/>
        </w:rPr>
      </w:pPr>
      <w:r>
        <w:rPr>
          <w:rFonts w:hint="default" w:ascii="Times New Roman" w:hAnsi="Times New Roman" w:eastAsia="仿宋_GB2312" w:cs="Times New Roman"/>
          <w:color w:val="auto"/>
          <w:kern w:val="2"/>
          <w:sz w:val="32"/>
          <w:szCs w:val="22"/>
          <w:highlight w:val="none"/>
          <w:lang w:val="en-US" w:eastAsia="zh-CN" w:bidi="ar"/>
        </w:rPr>
        <w:t>养护内容验收情况是项目实施效果的体现、是养护费用支付的依据。建议项目单位重视此项工作，严格按照验收标准和验收时间要求，规范验收程序，</w:t>
      </w:r>
      <w:r>
        <w:rPr>
          <w:rFonts w:hint="default" w:ascii="Times New Roman" w:hAnsi="Times New Roman" w:cs="Times New Roman"/>
          <w:color w:val="auto"/>
          <w:kern w:val="2"/>
          <w:sz w:val="32"/>
          <w:szCs w:val="22"/>
          <w:highlight w:val="none"/>
          <w:lang w:val="en-US" w:eastAsia="zh-CN" w:bidi="ar"/>
        </w:rPr>
        <w:t>有效地开展</w:t>
      </w:r>
      <w:r>
        <w:rPr>
          <w:rFonts w:hint="default" w:ascii="Times New Roman" w:hAnsi="Times New Roman" w:eastAsia="仿宋_GB2312" w:cs="Times New Roman"/>
          <w:color w:val="auto"/>
          <w:kern w:val="2"/>
          <w:sz w:val="32"/>
          <w:szCs w:val="22"/>
          <w:highlight w:val="none"/>
          <w:lang w:val="en-US" w:eastAsia="zh-CN" w:bidi="ar"/>
        </w:rPr>
        <w:t>验收工作。</w:t>
      </w:r>
    </w:p>
    <w:p>
      <w:pPr>
        <w:keepNext w:val="0"/>
        <w:keepLines w:val="0"/>
        <w:pageBreakBefore w:val="0"/>
        <w:widowControl w:val="0"/>
        <w:kinsoku/>
        <w:wordWrap/>
        <w:overflowPunct/>
        <w:topLinePunct w:val="0"/>
        <w:bidi w:val="0"/>
        <w:snapToGrid/>
        <w:spacing w:line="560" w:lineRule="atLeast"/>
        <w:ind w:firstLine="643"/>
        <w:textAlignment w:val="auto"/>
        <w:outlineLvl w:val="1"/>
        <w:rPr>
          <w:rFonts w:hint="default" w:ascii="Times New Roman" w:hAnsi="Times New Roman" w:eastAsia="楷体_GB2312" w:cs="Times New Roman"/>
          <w:b/>
          <w:bCs/>
          <w:kern w:val="2"/>
          <w:highlight w:val="none"/>
          <w:lang w:bidi="ar"/>
        </w:rPr>
      </w:pPr>
      <w:r>
        <w:rPr>
          <w:rFonts w:hint="default" w:ascii="Times New Roman" w:hAnsi="Times New Roman" w:eastAsia="楷体_GB2312" w:cs="Times New Roman"/>
          <w:b/>
          <w:bCs/>
          <w:kern w:val="2"/>
          <w:highlight w:val="none"/>
          <w:lang w:bidi="ar"/>
        </w:rPr>
        <w:t>（四）健全长效管理，制定后续计划</w:t>
      </w:r>
    </w:p>
    <w:p>
      <w:pPr>
        <w:keepNext w:val="0"/>
        <w:keepLines w:val="0"/>
        <w:pageBreakBefore w:val="0"/>
        <w:kinsoku/>
        <w:wordWrap/>
        <w:overflowPunct/>
        <w:topLinePunct w:val="0"/>
        <w:bidi w:val="0"/>
        <w:snapToGrid/>
        <w:spacing w:line="560" w:lineRule="atLeast"/>
        <w:ind w:firstLine="640"/>
        <w:textAlignment w:val="auto"/>
        <w:rPr>
          <w:rFonts w:hint="default" w:ascii="Times New Roman" w:hAnsi="Times New Roman" w:eastAsia="方正小标宋简体" w:cs="Times New Roman"/>
          <w:bCs/>
          <w:sz w:val="36"/>
          <w:szCs w:val="36"/>
          <w:highlight w:val="none"/>
        </w:rPr>
      </w:pPr>
      <w:r>
        <w:rPr>
          <w:rFonts w:hint="default" w:ascii="Times New Roman" w:hAnsi="Times New Roman" w:cs="Times New Roman"/>
          <w:highlight w:val="none"/>
        </w:rPr>
        <w:t>建议项目单位制定项目的中长期发展规划和目标，合理分析投入与产出，探索养护项目规划与目标，同时建立相关部门的有效沟通，建立联络机制，发挥各部门作用。合理提高河渠养护的水平，改善城市环境。</w:t>
      </w:r>
    </w:p>
    <w:p>
      <w:pPr>
        <w:pStyle w:val="48"/>
        <w:rPr>
          <w:rFonts w:hint="default" w:ascii="Times New Roman" w:hAnsi="Times New Roman" w:cs="Times New Roman"/>
        </w:rPr>
        <w:sectPr>
          <w:pgSz w:w="11906" w:h="16838"/>
          <w:pgMar w:top="1440" w:right="1800" w:bottom="1440" w:left="1800" w:header="851" w:footer="992" w:gutter="0"/>
          <w:pgNumType w:fmt="decimal"/>
          <w:cols w:space="720" w:num="1"/>
          <w:docGrid w:linePitch="312" w:charSpace="0"/>
        </w:sectPr>
      </w:pPr>
    </w:p>
    <w:p>
      <w:pPr>
        <w:pStyle w:val="48"/>
        <w:rPr>
          <w:rFonts w:hint="default" w:ascii="Times New Roman" w:hAnsi="Times New Roman" w:cs="Times New Roman"/>
        </w:rPr>
      </w:pPr>
    </w:p>
    <w:p>
      <w:pPr>
        <w:pStyle w:val="3"/>
        <w:ind w:firstLine="640"/>
        <w:rPr>
          <w:rFonts w:hint="default" w:ascii="Times New Roman" w:hAnsi="Times New Roman" w:cs="Times New Roman"/>
        </w:rPr>
      </w:pPr>
      <w:bookmarkStart w:id="112" w:name="_Toc91522506"/>
      <w:bookmarkStart w:id="113" w:name="_Toc1762"/>
      <w:r>
        <w:rPr>
          <w:rFonts w:hint="default" w:ascii="Times New Roman" w:hAnsi="Times New Roman" w:cs="Times New Roman"/>
        </w:rPr>
        <w:t>附件1 指标体系表</w:t>
      </w:r>
      <w:bookmarkEnd w:id="112"/>
      <w:bookmarkEnd w:id="113"/>
    </w:p>
    <w:tbl>
      <w:tblPr>
        <w:tblStyle w:val="37"/>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9"/>
        <w:gridCol w:w="1262"/>
        <w:gridCol w:w="1248"/>
        <w:gridCol w:w="1395"/>
        <w:gridCol w:w="870"/>
        <w:gridCol w:w="1715"/>
        <w:gridCol w:w="2036"/>
        <w:gridCol w:w="1381"/>
        <w:gridCol w:w="973"/>
        <w:gridCol w:w="24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blHeader/>
        </w:trPr>
        <w:tc>
          <w:tcPr>
            <w:tcW w:w="289"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一级指标</w:t>
            </w:r>
          </w:p>
        </w:tc>
        <w:tc>
          <w:tcPr>
            <w:tcW w:w="445"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二级指标</w:t>
            </w:r>
          </w:p>
        </w:tc>
        <w:tc>
          <w:tcPr>
            <w:tcW w:w="440"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三级指标</w:t>
            </w:r>
          </w:p>
        </w:tc>
        <w:tc>
          <w:tcPr>
            <w:tcW w:w="492"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四级指标</w:t>
            </w:r>
          </w:p>
        </w:tc>
        <w:tc>
          <w:tcPr>
            <w:tcW w:w="307"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权重</w:t>
            </w:r>
          </w:p>
        </w:tc>
        <w:tc>
          <w:tcPr>
            <w:tcW w:w="605"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指标解释</w:t>
            </w:r>
          </w:p>
        </w:tc>
        <w:tc>
          <w:tcPr>
            <w:tcW w:w="718"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指标说明</w:t>
            </w:r>
          </w:p>
        </w:tc>
        <w:tc>
          <w:tcPr>
            <w:tcW w:w="487"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评分标准及评分规则</w:t>
            </w:r>
          </w:p>
        </w:tc>
        <w:tc>
          <w:tcPr>
            <w:tcW w:w="343"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得分</w:t>
            </w:r>
          </w:p>
        </w:tc>
        <w:tc>
          <w:tcPr>
            <w:tcW w:w="869" w:type="pct"/>
            <w:vMerge w:val="restart"/>
            <w:shd w:val="clear" w:color="auto" w:fill="A4A4A4"/>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b/>
                <w:bCs/>
                <w:i w:val="0"/>
                <w:iCs w:val="0"/>
                <w:color w:val="000000"/>
                <w:sz w:val="21"/>
                <w:szCs w:val="21"/>
                <w:u w:val="none"/>
              </w:rPr>
            </w:pPr>
            <w:r>
              <w:rPr>
                <w:rFonts w:hint="default" w:ascii="Times New Roman" w:hAnsi="Times New Roman" w:eastAsia="仿宋_GB2312" w:cs="Times New Roman"/>
                <w:b/>
                <w:bCs/>
                <w:i w:val="0"/>
                <w:iCs w:val="0"/>
                <w:color w:val="000000"/>
                <w:kern w:val="0"/>
                <w:sz w:val="21"/>
                <w:szCs w:val="21"/>
                <w:u w:val="none"/>
                <w:lang w:val="en-US" w:eastAsia="zh-CN" w:bidi="ar"/>
              </w:rPr>
              <w:t>评分说明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blHeader/>
        </w:trPr>
        <w:tc>
          <w:tcPr>
            <w:tcW w:w="289"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445"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440"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492"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307"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605"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718"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487"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343"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c>
          <w:tcPr>
            <w:tcW w:w="869" w:type="pct"/>
            <w:vMerge w:val="continue"/>
            <w:shd w:val="clear" w:color="auto" w:fill="A4A4A4"/>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b/>
                <w:bCs/>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w:t>
            </w:r>
            <w:r>
              <w:rPr>
                <w:rFonts w:hint="default" w:ascii="Times New Roman" w:hAnsi="Times New Roman" w:eastAsia="仿宋_GB2312" w:cs="Times New Roman"/>
                <w:i w:val="0"/>
                <w:iCs w:val="0"/>
                <w:color w:val="000000"/>
                <w:kern w:val="0"/>
                <w:sz w:val="21"/>
                <w:szCs w:val="21"/>
                <w:u w:val="none"/>
                <w:lang w:val="en-US" w:eastAsia="zh-CN" w:bidi="ar"/>
              </w:rPr>
              <w:t>决策</w:t>
            </w: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A1</w:t>
            </w:r>
            <w:r>
              <w:rPr>
                <w:rFonts w:hint="default" w:ascii="Times New Roman" w:hAnsi="Times New Roman" w:eastAsia="仿宋_GB2312" w:cs="Times New Roman"/>
                <w:i w:val="0"/>
                <w:iCs w:val="0"/>
                <w:color w:val="000000"/>
                <w:kern w:val="0"/>
                <w:sz w:val="21"/>
                <w:szCs w:val="21"/>
                <w:u w:val="none"/>
                <w:lang w:val="en-US" w:eastAsia="zh-CN" w:bidi="ar"/>
              </w:rPr>
              <w:t>项目立项</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A11</w:t>
            </w:r>
            <w:r>
              <w:rPr>
                <w:rFonts w:hint="default" w:ascii="Times New Roman" w:hAnsi="Times New Roman" w:eastAsia="仿宋_GB2312" w:cs="Times New Roman"/>
                <w:i w:val="0"/>
                <w:iCs w:val="0"/>
                <w:color w:val="000000"/>
                <w:kern w:val="0"/>
                <w:sz w:val="21"/>
                <w:szCs w:val="21"/>
                <w:u w:val="none"/>
                <w:lang w:val="en-US" w:eastAsia="zh-CN" w:bidi="ar"/>
              </w:rPr>
              <w:t>立项依据充分性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项目立项是否符合法律法规、相关政策、发展规划以及部门职责，用以反映和考核项目立项依据情况。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项目立项是否符合国家法律法规、国民经济发展规划和相关政策；</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项目立项是否符合行业发展规划和政策要求；</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项目立项是否与部门职责范围相符，属于部门履职所需；</w:t>
            </w:r>
            <w:r>
              <w:rPr>
                <w:rFonts w:hint="default"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仿宋_GB2312" w:cs="Times New Roman"/>
                <w:i w:val="0"/>
                <w:iCs w:val="0"/>
                <w:color w:val="000000"/>
                <w:kern w:val="0"/>
                <w:sz w:val="21"/>
                <w:szCs w:val="21"/>
                <w:u w:val="none"/>
                <w:lang w:val="en-US" w:eastAsia="zh-CN" w:bidi="ar"/>
              </w:rPr>
              <w:t>项目是否属于公共财政支持范围，是否符合中央、地方事权支出责任划分原则；</w:t>
            </w:r>
            <w:r>
              <w:rPr>
                <w:rFonts w:hint="default" w:ascii="Times New Roman" w:hAnsi="Times New Roman" w:eastAsia="宋体" w:cs="Times New Roman"/>
                <w:i w:val="0"/>
                <w:iCs w:val="0"/>
                <w:color w:val="000000"/>
                <w:kern w:val="0"/>
                <w:sz w:val="21"/>
                <w:szCs w:val="21"/>
                <w:u w:val="none"/>
                <w:lang w:val="en-US" w:eastAsia="zh-CN" w:bidi="ar"/>
              </w:rPr>
              <w:t>⑤</w:t>
            </w:r>
            <w:r>
              <w:rPr>
                <w:rFonts w:hint="default" w:ascii="Times New Roman" w:hAnsi="Times New Roman" w:eastAsia="仿宋_GB2312" w:cs="Times New Roman"/>
                <w:i w:val="0"/>
                <w:iCs w:val="0"/>
                <w:color w:val="000000"/>
                <w:kern w:val="0"/>
                <w:sz w:val="21"/>
                <w:szCs w:val="21"/>
                <w:u w:val="none"/>
                <w:lang w:val="en-US" w:eastAsia="zh-CN" w:bidi="ar"/>
              </w:rPr>
              <w:t>项目是否与相关部门同类项目或部门内部相关项目重复。</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五项都符合得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20%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实施城市河流清洁行动计划，优化新乡市河渠环境，是优化营商环境，提升人居环境的重要举措，项目立项符合国家经济发展规划和相关政策，属于部门履职所需，属于公共财政支持范围。依据评分标准，该项指标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A12</w:t>
            </w:r>
            <w:r>
              <w:rPr>
                <w:rFonts w:hint="default" w:ascii="Times New Roman" w:hAnsi="Times New Roman" w:eastAsia="仿宋_GB2312" w:cs="Times New Roman"/>
                <w:i w:val="0"/>
                <w:iCs w:val="0"/>
                <w:color w:val="000000"/>
                <w:kern w:val="0"/>
                <w:sz w:val="21"/>
                <w:szCs w:val="21"/>
                <w:u w:val="none"/>
                <w:lang w:val="en-US" w:eastAsia="zh-CN" w:bidi="ar"/>
              </w:rPr>
              <w:t>立项程序规范性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项目申请、设立过程是否符合相关要求，用以反映和考核项目立项的规范情况。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项目是否按照规定的程序申请设立；</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审批文件、材料是否符合相关要求；</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事前是否经过必要的可行性研究、专家论证、风险评估、绩效评估、集体决策。</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要素</w:t>
            </w: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占</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权重，</w:t>
            </w:r>
            <w:r>
              <w:rPr>
                <w:rFonts w:hint="default" w:ascii="Times New Roman" w:hAnsi="Times New Roman" w:eastAsia="宋体" w:cs="Times New Roman"/>
                <w:i w:val="0"/>
                <w:iCs w:val="0"/>
                <w:color w:val="000000"/>
                <w:kern w:val="0"/>
                <w:sz w:val="21"/>
                <w:szCs w:val="21"/>
                <w:u w:val="none"/>
                <w:lang w:val="en-US" w:eastAsia="zh-CN" w:bidi="ar"/>
              </w:rPr>
              <w:t>②③</w:t>
            </w:r>
            <w:r>
              <w:rPr>
                <w:rFonts w:hint="default" w:ascii="Times New Roman" w:hAnsi="Times New Roman" w:eastAsia="仿宋_GB2312" w:cs="Times New Roman"/>
                <w:i w:val="0"/>
                <w:iCs w:val="0"/>
                <w:color w:val="000000"/>
                <w:kern w:val="0"/>
                <w:sz w:val="21"/>
                <w:szCs w:val="21"/>
                <w:u w:val="none"/>
                <w:lang w:val="en-US" w:eastAsia="zh-CN" w:bidi="ar"/>
              </w:rPr>
              <w:t>分别占</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权重分。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项目立项经过乐乐相关部门审批，审批文件、材料符合相关要求，事前经过了必要论证。依据评分标准，该项指标得3分。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A2</w:t>
            </w:r>
            <w:r>
              <w:rPr>
                <w:rFonts w:hint="default" w:ascii="Times New Roman" w:hAnsi="Times New Roman" w:eastAsia="仿宋_GB2312" w:cs="Times New Roman"/>
                <w:i w:val="0"/>
                <w:iCs w:val="0"/>
                <w:color w:val="000000"/>
                <w:kern w:val="0"/>
                <w:sz w:val="21"/>
                <w:szCs w:val="21"/>
                <w:u w:val="none"/>
                <w:lang w:val="en-US" w:eastAsia="zh-CN" w:bidi="ar"/>
              </w:rPr>
              <w:t>项目目标</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A21</w:t>
            </w:r>
            <w:r>
              <w:rPr>
                <w:rFonts w:hint="default" w:ascii="Times New Roman" w:hAnsi="Times New Roman" w:eastAsia="仿宋_GB2312" w:cs="Times New Roman"/>
                <w:i w:val="0"/>
                <w:iCs w:val="0"/>
                <w:color w:val="000000"/>
                <w:kern w:val="0"/>
                <w:sz w:val="21"/>
                <w:szCs w:val="21"/>
                <w:u w:val="none"/>
                <w:lang w:val="en-US" w:eastAsia="zh-CN" w:bidi="ar"/>
              </w:rPr>
              <w:t>绩效目标合理性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项目所设定的绩效目标是否依据充分，是否符合客观实际，用以反映和考核项目绩效目标与项目实施的相符情况。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项目是否有全面清晰的绩效目标；</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项目绩效目标与实际工作内容是否具有相关性；</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项目预期产出效益和效果是否符合正常的业绩水平；</w:t>
            </w:r>
            <w:r>
              <w:rPr>
                <w:rFonts w:hint="default"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仿宋_GB2312" w:cs="Times New Roman"/>
                <w:i w:val="0"/>
                <w:iCs w:val="0"/>
                <w:color w:val="000000"/>
                <w:kern w:val="0"/>
                <w:sz w:val="21"/>
                <w:szCs w:val="21"/>
                <w:u w:val="none"/>
                <w:lang w:val="en-US" w:eastAsia="zh-CN" w:bidi="ar"/>
              </w:rPr>
              <w:t>是否与预算确定的项目投资额或资金量相匹配。</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四项都符合得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2.25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根据项目单位提供的绩效目标申报表，本项目绩效目标设置为</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确保市区河渠环境优美</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目标设置与实际工作内容相关，但项目预期产出和效果不够明确，依据评分标准，该项指标得</w:t>
            </w:r>
            <w:r>
              <w:rPr>
                <w:rFonts w:hint="default" w:ascii="Times New Roman" w:hAnsi="Times New Roman" w:eastAsia="等线" w:cs="Times New Roman"/>
                <w:i w:val="0"/>
                <w:iCs w:val="0"/>
                <w:color w:val="000000"/>
                <w:kern w:val="0"/>
                <w:sz w:val="21"/>
                <w:szCs w:val="21"/>
                <w:u w:val="none"/>
                <w:lang w:val="en-US" w:eastAsia="zh-CN" w:bidi="ar"/>
              </w:rPr>
              <w:t>2.25</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A22</w:t>
            </w:r>
            <w:r>
              <w:rPr>
                <w:rFonts w:hint="default" w:ascii="Times New Roman" w:hAnsi="Times New Roman" w:eastAsia="仿宋_GB2312" w:cs="Times New Roman"/>
                <w:i w:val="0"/>
                <w:iCs w:val="0"/>
                <w:color w:val="000000"/>
                <w:kern w:val="0"/>
                <w:sz w:val="21"/>
                <w:szCs w:val="21"/>
                <w:u w:val="none"/>
                <w:lang w:val="en-US" w:eastAsia="zh-CN" w:bidi="ar"/>
              </w:rPr>
              <w:t>绩效指标明确性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依据绩效目标设定的绩效指标是否清晰、细化、可衡量等，用以反映和考核项目绩效目标的细化情况。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是否将项目绩效目标细化分解为具体的绩效指标；</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是否通过清晰、可衡量的指标值予以体现；</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是否与项目目标任务数或计划数相对应。</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要素</w:t>
            </w: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占</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权重，</w:t>
            </w:r>
            <w:r>
              <w:rPr>
                <w:rFonts w:hint="default" w:ascii="Times New Roman" w:hAnsi="Times New Roman" w:eastAsia="宋体" w:cs="Times New Roman"/>
                <w:i w:val="0"/>
                <w:iCs w:val="0"/>
                <w:color w:val="000000"/>
                <w:kern w:val="0"/>
                <w:sz w:val="21"/>
                <w:szCs w:val="21"/>
                <w:u w:val="none"/>
                <w:lang w:val="en-US" w:eastAsia="zh-CN" w:bidi="ar"/>
              </w:rPr>
              <w:t>②③</w:t>
            </w:r>
            <w:r>
              <w:rPr>
                <w:rFonts w:hint="default" w:ascii="Times New Roman" w:hAnsi="Times New Roman" w:eastAsia="仿宋_GB2312" w:cs="Times New Roman"/>
                <w:i w:val="0"/>
                <w:iCs w:val="0"/>
                <w:color w:val="000000"/>
                <w:kern w:val="0"/>
                <w:sz w:val="21"/>
                <w:szCs w:val="21"/>
                <w:u w:val="none"/>
                <w:lang w:val="en-US" w:eastAsia="zh-CN" w:bidi="ar"/>
              </w:rPr>
              <w:t>分别占</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权重分。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2.25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项目单位将绩效目标细化分解为具体的绩效指标，但数量指标设置为“养护管理绿地面积41.5万㎡”，时效指标设置为“‘数字河管’结案率100%”，数量指标与时效指标不对应。依据评分标准，该项指标得2.25分。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A3</w:t>
            </w:r>
            <w:r>
              <w:rPr>
                <w:rFonts w:hint="default" w:ascii="Times New Roman" w:hAnsi="Times New Roman" w:eastAsia="仿宋_GB2312" w:cs="Times New Roman"/>
                <w:i w:val="0"/>
                <w:iCs w:val="0"/>
                <w:color w:val="000000"/>
                <w:kern w:val="0"/>
                <w:sz w:val="21"/>
                <w:szCs w:val="21"/>
                <w:u w:val="none"/>
                <w:lang w:val="en-US" w:eastAsia="zh-CN" w:bidi="ar"/>
              </w:rPr>
              <w:t>资金投入</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A31</w:t>
            </w:r>
            <w:r>
              <w:rPr>
                <w:rFonts w:hint="default" w:ascii="Times New Roman" w:hAnsi="Times New Roman" w:eastAsia="仿宋_GB2312" w:cs="Times New Roman"/>
                <w:i w:val="0"/>
                <w:iCs w:val="0"/>
                <w:color w:val="000000"/>
                <w:kern w:val="0"/>
                <w:sz w:val="21"/>
                <w:szCs w:val="21"/>
                <w:u w:val="none"/>
                <w:lang w:val="en-US" w:eastAsia="zh-CN" w:bidi="ar"/>
              </w:rPr>
              <w:t>预算编制合理性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项目预算编制是否经过科学论证、有明确标准，资金额度与年度目标是否相适应，用以反映和考核项目预算编制的科学性、合理性情况。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预算编制是否经过科学论证；</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预算内容与项目内容是否匹配；</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预算额度测算依据是否充分，是否按照标准编制；</w:t>
            </w:r>
            <w:r>
              <w:rPr>
                <w:rFonts w:hint="default"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仿宋_GB2312" w:cs="Times New Roman"/>
                <w:i w:val="0"/>
                <w:iCs w:val="0"/>
                <w:color w:val="000000"/>
                <w:kern w:val="0"/>
                <w:sz w:val="21"/>
                <w:szCs w:val="21"/>
                <w:u w:val="none"/>
                <w:lang w:val="en-US" w:eastAsia="zh-CN" w:bidi="ar"/>
              </w:rPr>
              <w:t>预算确定的项目投资额或资金量是否与工作任务相匹配。</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四项都符合得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依据社会化养护合同中约定的本年应支付金额编制本年度预算金额，预算内容与项目内容匹配，但根据市河渠中心提供的相关合同、批复及测算依据发现，对于岸坡绿化面积，按照新乡市统一的每平方米4元的标准进行测算，同时又按照每6500平方米安排1人进行人员配置。对于水面保洁，按照人员工资、打捞船油费、打捞船购买及养护费等费用，但打捞船的购买经费在合同期内全部摊销完毕不够合理，该项费用不应全部由财政承担。因此，评价小组判断，该项目签订的合同价格不够公允，预算申请的依据不够合理。依据评分标准，该项指标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w:t>
            </w:r>
            <w:r>
              <w:rPr>
                <w:rFonts w:hint="default" w:ascii="Times New Roman" w:hAnsi="Times New Roman" w:eastAsia="仿宋_GB2312" w:cs="Times New Roman"/>
                <w:i w:val="0"/>
                <w:iCs w:val="0"/>
                <w:color w:val="000000"/>
                <w:kern w:val="0"/>
                <w:sz w:val="21"/>
                <w:szCs w:val="21"/>
                <w:u w:val="none"/>
                <w:lang w:val="en-US" w:eastAsia="zh-CN" w:bidi="ar"/>
              </w:rPr>
              <w:t>过程</w:t>
            </w: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B1</w:t>
            </w:r>
            <w:r>
              <w:rPr>
                <w:rFonts w:hint="default" w:ascii="Times New Roman" w:hAnsi="Times New Roman" w:eastAsia="仿宋_GB2312" w:cs="Times New Roman"/>
                <w:i w:val="0"/>
                <w:iCs w:val="0"/>
                <w:color w:val="000000"/>
                <w:kern w:val="0"/>
                <w:sz w:val="21"/>
                <w:szCs w:val="21"/>
                <w:u w:val="none"/>
                <w:lang w:val="en-US" w:eastAsia="zh-CN" w:bidi="ar"/>
              </w:rPr>
              <w:t>资金管理</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B11</w:t>
            </w:r>
            <w:r>
              <w:rPr>
                <w:rFonts w:hint="default" w:ascii="Times New Roman" w:hAnsi="Times New Roman" w:eastAsia="仿宋_GB2312" w:cs="Times New Roman"/>
                <w:i w:val="0"/>
                <w:iCs w:val="0"/>
                <w:color w:val="000000"/>
                <w:kern w:val="0"/>
                <w:sz w:val="21"/>
                <w:szCs w:val="21"/>
                <w:u w:val="none"/>
                <w:lang w:val="en-US" w:eastAsia="zh-CN" w:bidi="ar"/>
              </w:rPr>
              <w:t>资金到位率</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实际到位资金与预算资金的比率，用以反映和考核资金落实情况对项目实施的总体保障程度。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资金到位率</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（实际到位资金</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预算资金）</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。实际到位资金：一定时期（本年度或项目期）内落实到具体项目的资金。预算资金：一定时期（本年度或项目期）内预算安排到具体项目的资金。</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资金到位率</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相应权重。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该项目本年批复预算</w:t>
            </w:r>
            <w:r>
              <w:rPr>
                <w:rFonts w:hint="default" w:ascii="Times New Roman" w:hAnsi="Times New Roman" w:eastAsia="等线" w:cs="Times New Roman"/>
                <w:i w:val="0"/>
                <w:iCs w:val="0"/>
                <w:color w:val="000000"/>
                <w:kern w:val="0"/>
                <w:sz w:val="21"/>
                <w:szCs w:val="21"/>
                <w:u w:val="none"/>
                <w:lang w:val="en-US" w:eastAsia="zh-CN" w:bidi="ar"/>
              </w:rPr>
              <w:t>279.06</w:t>
            </w:r>
            <w:r>
              <w:rPr>
                <w:rFonts w:hint="default" w:ascii="Times New Roman" w:hAnsi="Times New Roman" w:eastAsia="仿宋_GB2312" w:cs="Times New Roman"/>
                <w:i w:val="0"/>
                <w:iCs w:val="0"/>
                <w:color w:val="000000"/>
                <w:kern w:val="0"/>
                <w:sz w:val="21"/>
                <w:szCs w:val="21"/>
                <w:u w:val="none"/>
                <w:lang w:val="en-US" w:eastAsia="zh-CN" w:bidi="ar"/>
              </w:rPr>
              <w:t>万元，年中申请追加</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万元，实际到位资金</w:t>
            </w:r>
            <w:r>
              <w:rPr>
                <w:rFonts w:hint="default" w:ascii="Times New Roman" w:hAnsi="Times New Roman" w:eastAsia="等线" w:cs="Times New Roman"/>
                <w:i w:val="0"/>
                <w:iCs w:val="0"/>
                <w:color w:val="000000"/>
                <w:kern w:val="0"/>
                <w:sz w:val="21"/>
                <w:szCs w:val="21"/>
                <w:u w:val="none"/>
                <w:lang w:val="en-US" w:eastAsia="zh-CN" w:bidi="ar"/>
              </w:rPr>
              <w:t>379.06</w:t>
            </w:r>
            <w:r>
              <w:rPr>
                <w:rFonts w:hint="default" w:ascii="Times New Roman" w:hAnsi="Times New Roman" w:eastAsia="仿宋_GB2312" w:cs="Times New Roman"/>
                <w:i w:val="0"/>
                <w:iCs w:val="0"/>
                <w:color w:val="000000"/>
                <w:kern w:val="0"/>
                <w:sz w:val="21"/>
                <w:szCs w:val="21"/>
                <w:u w:val="none"/>
                <w:lang w:val="en-US" w:eastAsia="zh-CN" w:bidi="ar"/>
              </w:rPr>
              <w:t>万元，资金到位率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B12</w:t>
            </w:r>
            <w:r>
              <w:rPr>
                <w:rFonts w:hint="default" w:ascii="Times New Roman" w:hAnsi="Times New Roman" w:eastAsia="仿宋_GB2312" w:cs="Times New Roman"/>
                <w:i w:val="0"/>
                <w:iCs w:val="0"/>
                <w:color w:val="000000"/>
                <w:kern w:val="0"/>
                <w:sz w:val="21"/>
                <w:szCs w:val="21"/>
                <w:u w:val="none"/>
                <w:lang w:val="en-US" w:eastAsia="zh-CN" w:bidi="ar"/>
              </w:rPr>
              <w:t>资金到位及时性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考察项目资金到达项目实施单位的及时程度。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每笔资金是否按照计划时间到达项目单位。</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资金及时到位得满分，每发现一例延迟，扣除</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权重分。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本项目批复金额均在年度内及时到位。依据评分标准，该项指标得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B13</w:t>
            </w:r>
            <w:r>
              <w:rPr>
                <w:rFonts w:hint="default" w:ascii="Times New Roman" w:hAnsi="Times New Roman" w:eastAsia="仿宋_GB2312" w:cs="Times New Roman"/>
                <w:i w:val="0"/>
                <w:iCs w:val="0"/>
                <w:color w:val="000000"/>
                <w:kern w:val="0"/>
                <w:sz w:val="21"/>
                <w:szCs w:val="21"/>
                <w:u w:val="none"/>
                <w:lang w:val="en-US" w:eastAsia="zh-CN" w:bidi="ar"/>
              </w:rPr>
              <w:t>预算执行率</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项目预算资金是否按照计划执行，用以反映或考核项目预算执行情况。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预算执行率</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（实际支出资金</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实际到位资金）</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。实际支出资金：一定时期（本年度或项目期）内项目实际拨付的资金。</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预算执行率</w:t>
            </w:r>
            <w:r>
              <w:rPr>
                <w:rFonts w:hint="default" w:ascii="Times New Roman" w:hAnsi="Times New Roman" w:eastAsia="等线" w:cs="Times New Roman"/>
                <w:i w:val="0"/>
                <w:iCs w:val="0"/>
                <w:color w:val="000000"/>
                <w:kern w:val="0"/>
                <w:sz w:val="21"/>
                <w:szCs w:val="21"/>
                <w:u w:val="none"/>
                <w:lang w:val="en-US" w:eastAsia="zh-CN" w:bidi="ar"/>
              </w:rPr>
              <w:t>≥95%</w:t>
            </w:r>
            <w:r>
              <w:rPr>
                <w:rFonts w:hint="default" w:ascii="Times New Roman" w:hAnsi="Times New Roman" w:eastAsia="仿宋_GB2312" w:cs="Times New Roman"/>
                <w:i w:val="0"/>
                <w:iCs w:val="0"/>
                <w:color w:val="000000"/>
                <w:kern w:val="0"/>
                <w:sz w:val="21"/>
                <w:szCs w:val="21"/>
                <w:u w:val="none"/>
                <w:lang w:val="en-US" w:eastAsia="zh-CN" w:bidi="ar"/>
              </w:rPr>
              <w:t>，得满分；</w:t>
            </w:r>
            <w:r>
              <w:rPr>
                <w:rFonts w:hint="default" w:ascii="Times New Roman" w:hAnsi="Times New Roman" w:eastAsia="等线" w:cs="Times New Roman"/>
                <w:i w:val="0"/>
                <w:iCs w:val="0"/>
                <w:color w:val="000000"/>
                <w:kern w:val="0"/>
                <w:sz w:val="21"/>
                <w:szCs w:val="21"/>
                <w:u w:val="none"/>
                <w:lang w:val="en-US" w:eastAsia="zh-CN" w:bidi="ar"/>
              </w:rPr>
              <w:t>95%</w:t>
            </w:r>
            <w:r>
              <w:rPr>
                <w:rFonts w:hint="default" w:ascii="Times New Roman" w:hAnsi="Times New Roman" w:eastAsia="仿宋_GB2312" w:cs="Times New Roman"/>
                <w:i w:val="0"/>
                <w:iCs w:val="0"/>
                <w:color w:val="000000"/>
                <w:kern w:val="0"/>
                <w:sz w:val="21"/>
                <w:szCs w:val="21"/>
                <w:u w:val="none"/>
                <w:lang w:val="en-US" w:eastAsia="zh-CN" w:bidi="ar"/>
              </w:rPr>
              <w:t>以下得分</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权重分值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执行率；预算执行率＞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不得分；预算执行率＜</w:t>
            </w:r>
            <w:r>
              <w:rPr>
                <w:rFonts w:hint="default" w:ascii="Times New Roman" w:hAnsi="Times New Roman" w:eastAsia="等线" w:cs="Times New Roman"/>
                <w:i w:val="0"/>
                <w:iCs w:val="0"/>
                <w:color w:val="000000"/>
                <w:kern w:val="0"/>
                <w:sz w:val="21"/>
                <w:szCs w:val="21"/>
                <w:u w:val="none"/>
                <w:lang w:val="en-US" w:eastAsia="zh-CN" w:bidi="ar"/>
              </w:rPr>
              <w:t>60%</w:t>
            </w:r>
            <w:r>
              <w:rPr>
                <w:rFonts w:hint="default" w:ascii="Times New Roman" w:hAnsi="Times New Roman" w:eastAsia="仿宋_GB2312" w:cs="Times New Roman"/>
                <w:i w:val="0"/>
                <w:iCs w:val="0"/>
                <w:color w:val="000000"/>
                <w:kern w:val="0"/>
                <w:sz w:val="21"/>
                <w:szCs w:val="21"/>
                <w:u w:val="none"/>
                <w:lang w:val="en-US" w:eastAsia="zh-CN" w:bidi="ar"/>
              </w:rPr>
              <w:t>不得分。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本项目年度内实际到位资金</w:t>
            </w:r>
            <w:r>
              <w:rPr>
                <w:rFonts w:hint="default" w:ascii="Times New Roman" w:hAnsi="Times New Roman" w:eastAsia="等线" w:cs="Times New Roman"/>
                <w:i w:val="0"/>
                <w:iCs w:val="0"/>
                <w:color w:val="000000"/>
                <w:kern w:val="0"/>
                <w:sz w:val="21"/>
                <w:szCs w:val="21"/>
                <w:u w:val="none"/>
                <w:lang w:val="en-US" w:eastAsia="zh-CN" w:bidi="ar"/>
              </w:rPr>
              <w:t>379.06</w:t>
            </w:r>
            <w:r>
              <w:rPr>
                <w:rFonts w:hint="default" w:ascii="Times New Roman" w:hAnsi="Times New Roman" w:eastAsia="仿宋_GB2312" w:cs="Times New Roman"/>
                <w:i w:val="0"/>
                <w:iCs w:val="0"/>
                <w:color w:val="000000"/>
                <w:kern w:val="0"/>
                <w:sz w:val="21"/>
                <w:szCs w:val="21"/>
                <w:u w:val="none"/>
                <w:lang w:val="en-US" w:eastAsia="zh-CN" w:bidi="ar"/>
              </w:rPr>
              <w:t>万元，截至评价日支出</w:t>
            </w:r>
            <w:r>
              <w:rPr>
                <w:rFonts w:hint="default" w:ascii="Times New Roman" w:hAnsi="Times New Roman" w:eastAsia="等线" w:cs="Times New Roman"/>
                <w:i w:val="0"/>
                <w:iCs w:val="0"/>
                <w:color w:val="000000"/>
                <w:kern w:val="0"/>
                <w:sz w:val="21"/>
                <w:szCs w:val="21"/>
                <w:u w:val="none"/>
                <w:lang w:val="en-US" w:eastAsia="zh-CN" w:bidi="ar"/>
              </w:rPr>
              <w:t>379.06</w:t>
            </w:r>
            <w:r>
              <w:rPr>
                <w:rFonts w:hint="default" w:ascii="Times New Roman" w:hAnsi="Times New Roman" w:eastAsia="仿宋_GB2312" w:cs="Times New Roman"/>
                <w:i w:val="0"/>
                <w:iCs w:val="0"/>
                <w:color w:val="000000"/>
                <w:kern w:val="0"/>
                <w:sz w:val="21"/>
                <w:szCs w:val="21"/>
                <w:u w:val="none"/>
                <w:lang w:val="en-US" w:eastAsia="zh-CN" w:bidi="ar"/>
              </w:rPr>
              <w:t>万元，预算执行率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B14</w:t>
            </w:r>
            <w:r>
              <w:rPr>
                <w:rFonts w:hint="default" w:ascii="Times New Roman" w:hAnsi="Times New Roman" w:eastAsia="仿宋_GB2312" w:cs="Times New Roman"/>
                <w:i w:val="0"/>
                <w:iCs w:val="0"/>
                <w:color w:val="000000"/>
                <w:kern w:val="0"/>
                <w:sz w:val="21"/>
                <w:szCs w:val="21"/>
                <w:u w:val="none"/>
                <w:lang w:val="en-US" w:eastAsia="zh-CN" w:bidi="ar"/>
              </w:rPr>
              <w:t>资金使用合规性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项目资金使用是否符合相关的财务管理制度规定，用以反映和考核项目资金的规范运行情况。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是否符合国家财经法规和财务管理制度以及有关专项资金管理办法的规定；</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资金的拨付是否有完整的审批程序和手续；</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资金支付是否符合预算批复或合同规定的用途；</w:t>
            </w:r>
            <w:r>
              <w:rPr>
                <w:rFonts w:hint="default"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仿宋_GB2312" w:cs="Times New Roman"/>
                <w:i w:val="0"/>
                <w:iCs w:val="0"/>
                <w:color w:val="000000"/>
                <w:kern w:val="0"/>
                <w:sz w:val="21"/>
                <w:szCs w:val="21"/>
                <w:u w:val="none"/>
                <w:lang w:val="en-US" w:eastAsia="zh-CN" w:bidi="ar"/>
              </w:rPr>
              <w:t>是否存在截留、挤占、挪用、虚列支出等情况。</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四项都符合得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资金支出明细，本项目资金均用于支付养护单位服务费，资金支出符合专项资金管理办法，拨付审批手续完整，符合合同约定的用途，不存在截留、挤占、挪用、虚列支出的现象。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w:t>
            </w:r>
            <w:r>
              <w:rPr>
                <w:rFonts w:hint="default" w:ascii="Times New Roman" w:hAnsi="Times New Roman" w:eastAsia="仿宋_GB2312" w:cs="Times New Roman"/>
                <w:i w:val="0"/>
                <w:iCs w:val="0"/>
                <w:color w:val="000000"/>
                <w:kern w:val="0"/>
                <w:sz w:val="21"/>
                <w:szCs w:val="21"/>
                <w:u w:val="none"/>
                <w:lang w:val="en-US" w:eastAsia="zh-CN" w:bidi="ar"/>
              </w:rPr>
              <w:t>组织实施</w:t>
            </w:r>
          </w:p>
        </w:tc>
        <w:tc>
          <w:tcPr>
            <w:tcW w:w="44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B21</w:t>
            </w:r>
            <w:r>
              <w:rPr>
                <w:rFonts w:hint="default" w:ascii="Times New Roman" w:hAnsi="Times New Roman" w:eastAsia="仿宋_GB2312" w:cs="Times New Roman"/>
                <w:i w:val="0"/>
                <w:iCs w:val="0"/>
                <w:color w:val="000000"/>
                <w:kern w:val="0"/>
                <w:sz w:val="21"/>
                <w:szCs w:val="21"/>
                <w:u w:val="none"/>
                <w:lang w:val="en-US" w:eastAsia="zh-CN" w:bidi="ar"/>
              </w:rPr>
              <w:t>项目管理制度健全性</w:t>
            </w: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B211</w:t>
            </w:r>
            <w:r>
              <w:rPr>
                <w:rFonts w:hint="default" w:ascii="Times New Roman" w:hAnsi="Times New Roman" w:eastAsia="仿宋_GB2312" w:cs="Times New Roman"/>
                <w:i w:val="0"/>
                <w:iCs w:val="0"/>
                <w:color w:val="000000"/>
                <w:kern w:val="0"/>
                <w:sz w:val="21"/>
                <w:szCs w:val="21"/>
                <w:u w:val="none"/>
                <w:lang w:val="en-US" w:eastAsia="zh-CN" w:bidi="ar"/>
              </w:rPr>
              <w:t>财务管理制度健全性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考察项目实施单位制定财务管理制度情况，制度是否合法、合规、完整。用以反映和考核财务管理制度对项目顺利实施的保障情况。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项目主管部门和实施单位均建立了适用的财务管理制度；</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财务管理制度合法、合规、完整，及时更新且不存在重大缺陷。</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两项都符合得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本项目财务管理方面依据部门财务管理制度及合同约定的资金支付相关内容执行，财务管理制度合法、合规。依据评分标准，该项指标得</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B212</w:t>
            </w:r>
            <w:r>
              <w:rPr>
                <w:rFonts w:hint="default" w:ascii="Times New Roman" w:hAnsi="Times New Roman" w:eastAsia="仿宋_GB2312" w:cs="Times New Roman"/>
                <w:i w:val="0"/>
                <w:iCs w:val="0"/>
                <w:color w:val="000000"/>
                <w:kern w:val="0"/>
                <w:sz w:val="21"/>
                <w:szCs w:val="21"/>
                <w:u w:val="none"/>
                <w:lang w:val="en-US" w:eastAsia="zh-CN" w:bidi="ar"/>
              </w:rPr>
              <w:t>项目管理制度健全性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考察项目实施单位制定业务管理制度情况，制度是否合法、合规、完整。用以反映和考核业务管理制度对项目顺利实施的保障情况。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项目主管部门和实施单位均建立了适用的业务管理制度；</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业务管理制度合法、合规、完整，及时更新且不存在重大缺陷。</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两项都符合得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项目单位依据项目合同及《新乡市市区河渠综合事务中心社会化养护管理标准》对本项目进行管理，项目管理制度健全。依据评分标准，该项指标得</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w:t>
            </w:r>
            <w:r>
              <w:rPr>
                <w:rFonts w:hint="default" w:ascii="Times New Roman" w:hAnsi="Times New Roman" w:eastAsia="仿宋_GB2312" w:cs="Times New Roman"/>
                <w:i w:val="0"/>
                <w:iCs w:val="0"/>
                <w:color w:val="000000"/>
                <w:kern w:val="0"/>
                <w:sz w:val="21"/>
                <w:szCs w:val="21"/>
                <w:u w:val="none"/>
                <w:lang w:val="en-US" w:eastAsia="zh-CN" w:bidi="ar"/>
              </w:rPr>
              <w:t>项目管理制度执行有效性</w:t>
            </w: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B221</w:t>
            </w:r>
            <w:r>
              <w:rPr>
                <w:rFonts w:hint="default" w:ascii="Times New Roman" w:hAnsi="Times New Roman" w:eastAsia="仿宋_GB2312" w:cs="Times New Roman"/>
                <w:i w:val="0"/>
                <w:iCs w:val="0"/>
                <w:color w:val="000000"/>
                <w:kern w:val="0"/>
                <w:sz w:val="21"/>
                <w:szCs w:val="21"/>
                <w:u w:val="none"/>
                <w:lang w:val="en-US" w:eastAsia="zh-CN" w:bidi="ar"/>
              </w:rPr>
              <w:t>政府采购合规性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考察采购程序是否符合政府购买服务类项目政府采购相关规定，是否严格、规范地执行采购程序。</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选择的采购方式合理，符合政府采购管理或部门采购相关规定；</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采购实施程序规范，符合政府采购相关流程的规定。</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要素</w:t>
            </w: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占</w:t>
            </w:r>
            <w:r>
              <w:rPr>
                <w:rFonts w:hint="default" w:ascii="Times New Roman" w:hAnsi="Times New Roman" w:eastAsia="等线" w:cs="Times New Roman"/>
                <w:i w:val="0"/>
                <w:iCs w:val="0"/>
                <w:color w:val="000000"/>
                <w:kern w:val="0"/>
                <w:sz w:val="21"/>
                <w:szCs w:val="21"/>
                <w:u w:val="none"/>
                <w:lang w:val="en-US" w:eastAsia="zh-CN" w:bidi="ar"/>
              </w:rPr>
              <w:t>30%</w:t>
            </w:r>
            <w:r>
              <w:rPr>
                <w:rFonts w:hint="default" w:ascii="Times New Roman" w:hAnsi="Times New Roman" w:eastAsia="仿宋_GB2312" w:cs="Times New Roman"/>
                <w:i w:val="0"/>
                <w:iCs w:val="0"/>
                <w:color w:val="000000"/>
                <w:kern w:val="0"/>
                <w:sz w:val="21"/>
                <w:szCs w:val="21"/>
                <w:u w:val="none"/>
                <w:lang w:val="en-US" w:eastAsia="zh-CN" w:bidi="ar"/>
              </w:rPr>
              <w:t>权重，</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各占</w:t>
            </w:r>
            <w:r>
              <w:rPr>
                <w:rFonts w:hint="default" w:ascii="Times New Roman" w:hAnsi="Times New Roman" w:eastAsia="等线" w:cs="Times New Roman"/>
                <w:i w:val="0"/>
                <w:iCs w:val="0"/>
                <w:color w:val="000000"/>
                <w:kern w:val="0"/>
                <w:sz w:val="21"/>
                <w:szCs w:val="21"/>
                <w:u w:val="none"/>
                <w:lang w:val="en-US" w:eastAsia="zh-CN" w:bidi="ar"/>
              </w:rPr>
              <w:t>70%</w:t>
            </w:r>
            <w:r>
              <w:rPr>
                <w:rFonts w:hint="default" w:ascii="Times New Roman" w:hAnsi="Times New Roman" w:eastAsia="仿宋_GB2312" w:cs="Times New Roman"/>
                <w:i w:val="0"/>
                <w:iCs w:val="0"/>
                <w:color w:val="000000"/>
                <w:kern w:val="0"/>
                <w:sz w:val="21"/>
                <w:szCs w:val="21"/>
                <w:u w:val="none"/>
                <w:lang w:val="en-US" w:eastAsia="zh-CN" w:bidi="ar"/>
              </w:rPr>
              <w:t>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项目单位采用公开招标的方式确定各河段养护单位，但政府采购过程中，对中标单位的审查不</w:t>
            </w:r>
            <w:r>
              <w:rPr>
                <w:rFonts w:hint="default" w:ascii="Times New Roman" w:hAnsi="Times New Roman" w:cs="Times New Roman"/>
                <w:i w:val="0"/>
                <w:iCs w:val="0"/>
                <w:color w:val="000000"/>
                <w:kern w:val="0"/>
                <w:sz w:val="21"/>
                <w:szCs w:val="21"/>
                <w:u w:val="none"/>
                <w:lang w:val="en-US" w:eastAsia="zh-CN" w:bidi="ar"/>
              </w:rPr>
              <w:t>够</w:t>
            </w:r>
            <w:r>
              <w:rPr>
                <w:rFonts w:hint="default" w:ascii="Times New Roman" w:hAnsi="Times New Roman" w:eastAsia="仿宋_GB2312" w:cs="Times New Roman"/>
                <w:i w:val="0"/>
                <w:iCs w:val="0"/>
                <w:color w:val="000000"/>
                <w:kern w:val="0"/>
                <w:sz w:val="21"/>
                <w:szCs w:val="21"/>
                <w:u w:val="none"/>
                <w:lang w:val="en-US" w:eastAsia="zh-CN" w:bidi="ar"/>
              </w:rPr>
              <w:t>严谨</w:t>
            </w:r>
            <w:r>
              <w:rPr>
                <w:rFonts w:hint="default" w:ascii="Times New Roman" w:hAnsi="Times New Roman" w:cs="Times New Roman"/>
                <w:i w:val="0"/>
                <w:iCs w:val="0"/>
                <w:color w:val="000000"/>
                <w:kern w:val="0"/>
                <w:sz w:val="21"/>
                <w:szCs w:val="21"/>
                <w:u w:val="none"/>
                <w:lang w:val="en-US" w:eastAsia="zh-CN" w:bidi="ar"/>
              </w:rPr>
              <w:t>，导致重新确定养护单位</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B222</w:t>
            </w:r>
            <w:r>
              <w:rPr>
                <w:rFonts w:hint="default" w:ascii="Times New Roman" w:hAnsi="Times New Roman" w:eastAsia="仿宋_GB2312" w:cs="Times New Roman"/>
                <w:i w:val="0"/>
                <w:iCs w:val="0"/>
                <w:color w:val="000000"/>
                <w:kern w:val="0"/>
                <w:sz w:val="21"/>
                <w:szCs w:val="21"/>
                <w:u w:val="none"/>
                <w:lang w:val="en-US" w:eastAsia="zh-CN" w:bidi="ar"/>
              </w:rPr>
              <w:t>月评比规范性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考察项目单位是否依据考核标准对各养护单位进行月评比打分。</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根据合同约定开展月评比工作；</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评比过程公正、严格按标准执行；</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评比结果有效应用。</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要素</w:t>
            </w: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占</w:t>
            </w:r>
            <w:r>
              <w:rPr>
                <w:rFonts w:hint="default" w:ascii="Times New Roman" w:hAnsi="Times New Roman" w:eastAsia="等线" w:cs="Times New Roman"/>
                <w:i w:val="0"/>
                <w:iCs w:val="0"/>
                <w:color w:val="000000"/>
                <w:kern w:val="0"/>
                <w:sz w:val="21"/>
                <w:szCs w:val="21"/>
                <w:u w:val="none"/>
                <w:lang w:val="en-US" w:eastAsia="zh-CN" w:bidi="ar"/>
              </w:rPr>
              <w:t>30%</w:t>
            </w:r>
            <w:r>
              <w:rPr>
                <w:rFonts w:hint="default" w:ascii="Times New Roman" w:hAnsi="Times New Roman" w:eastAsia="仿宋_GB2312" w:cs="Times New Roman"/>
                <w:i w:val="0"/>
                <w:iCs w:val="0"/>
                <w:color w:val="000000"/>
                <w:kern w:val="0"/>
                <w:sz w:val="21"/>
                <w:szCs w:val="21"/>
                <w:u w:val="none"/>
                <w:lang w:val="en-US" w:eastAsia="zh-CN" w:bidi="ar"/>
              </w:rPr>
              <w:t>权重，</w:t>
            </w:r>
            <w:r>
              <w:rPr>
                <w:rFonts w:hint="default" w:ascii="Times New Roman" w:hAnsi="Times New Roman" w:eastAsia="宋体" w:cs="Times New Roman"/>
                <w:i w:val="0"/>
                <w:iCs w:val="0"/>
                <w:color w:val="000000"/>
                <w:kern w:val="0"/>
                <w:sz w:val="21"/>
                <w:szCs w:val="21"/>
                <w:u w:val="none"/>
                <w:lang w:val="en-US" w:eastAsia="zh-CN" w:bidi="ar"/>
              </w:rPr>
              <w:t>②③</w:t>
            </w:r>
            <w:r>
              <w:rPr>
                <w:rFonts w:hint="default" w:ascii="Times New Roman" w:hAnsi="Times New Roman" w:eastAsia="仿宋_GB2312" w:cs="Times New Roman"/>
                <w:i w:val="0"/>
                <w:iCs w:val="0"/>
                <w:color w:val="000000"/>
                <w:kern w:val="0"/>
                <w:sz w:val="21"/>
                <w:szCs w:val="21"/>
                <w:u w:val="none"/>
                <w:lang w:val="en-US" w:eastAsia="zh-CN" w:bidi="ar"/>
              </w:rPr>
              <w:t>各占</w:t>
            </w:r>
            <w:r>
              <w:rPr>
                <w:rFonts w:hint="default" w:ascii="Times New Roman" w:hAnsi="Times New Roman" w:eastAsia="等线" w:cs="Times New Roman"/>
                <w:i w:val="0"/>
                <w:iCs w:val="0"/>
                <w:color w:val="000000"/>
                <w:kern w:val="0"/>
                <w:sz w:val="21"/>
                <w:szCs w:val="21"/>
                <w:u w:val="none"/>
                <w:lang w:val="en-US" w:eastAsia="zh-CN" w:bidi="ar"/>
              </w:rPr>
              <w:t>35%</w:t>
            </w:r>
            <w:r>
              <w:rPr>
                <w:rFonts w:hint="default" w:ascii="Times New Roman" w:hAnsi="Times New Roman" w:eastAsia="仿宋_GB2312" w:cs="Times New Roman"/>
                <w:i w:val="0"/>
                <w:iCs w:val="0"/>
                <w:color w:val="000000"/>
                <w:kern w:val="0"/>
                <w:sz w:val="21"/>
                <w:szCs w:val="21"/>
                <w:u w:val="none"/>
                <w:lang w:val="en-US" w:eastAsia="zh-CN" w:bidi="ar"/>
              </w:rPr>
              <w:t>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1.5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依据《新乡市市区河渠综合事务中心社会化管理养护督察考评暂行办法》对各养护单位进行月评比并打分，评比中出现反馈问题未解决，需要二次派遣时，会依据考评标准扣分并罚款。但月评比打分表中2022年未出现二次派遣扣分情况，实际管理简报显示有二次派遣现象；且“数字城管”“数字河管”案发情况在月评比打分表中均未体现。月评比虽资料齐全，但打分结果与实际情况有偏差。月评比打分考核虽有开展但与实际有偏差。依据评分标准，该项指标得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B223</w:t>
            </w:r>
            <w:r>
              <w:rPr>
                <w:rFonts w:hint="default" w:ascii="Times New Roman" w:hAnsi="Times New Roman" w:eastAsia="仿宋_GB2312" w:cs="Times New Roman"/>
                <w:i w:val="0"/>
                <w:iCs w:val="0"/>
                <w:color w:val="000000"/>
                <w:kern w:val="0"/>
                <w:sz w:val="21"/>
                <w:szCs w:val="21"/>
                <w:u w:val="none"/>
                <w:lang w:val="en-US" w:eastAsia="zh-CN" w:bidi="ar"/>
              </w:rPr>
              <w:t>考核验收规范性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考察项目实施是否符合相关管理规定，是否为达到项目质量要求而采取了必需的措施，用以反映和考核业务管理制度的有效执行和质量控制情况。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实施单位是否制定了项目的考核办法；</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考核办法是否规范、合理；</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是否按照要求进行考核验收。</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各要素分别占</w:t>
            </w:r>
            <w:r>
              <w:rPr>
                <w:rFonts w:hint="default" w:ascii="Times New Roman" w:hAnsi="Times New Roman" w:eastAsia="等线" w:cs="Times New Roman"/>
                <w:i w:val="0"/>
                <w:iCs w:val="0"/>
                <w:color w:val="000000"/>
                <w:kern w:val="0"/>
                <w:sz w:val="21"/>
                <w:szCs w:val="21"/>
                <w:u w:val="none"/>
                <w:lang w:val="en-US" w:eastAsia="zh-CN" w:bidi="ar"/>
              </w:rPr>
              <w:t>1/3</w:t>
            </w:r>
            <w:r>
              <w:rPr>
                <w:rFonts w:hint="default" w:ascii="Times New Roman" w:hAnsi="Times New Roman" w:eastAsia="仿宋_GB2312" w:cs="Times New Roman"/>
                <w:i w:val="0"/>
                <w:iCs w:val="0"/>
                <w:color w:val="000000"/>
                <w:kern w:val="0"/>
                <w:sz w:val="21"/>
                <w:szCs w:val="21"/>
                <w:u w:val="none"/>
                <w:lang w:val="en-US" w:eastAsia="zh-CN" w:bidi="ar"/>
              </w:rPr>
              <w:t>权重分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项目单位每季度按照《新乡市市区河渠综合管理办公室社会化管理养护监督考评暂行办法》对各养护单位的养护成果进行验收，并出具验收报告；但根据项目单位提供的验收报告，卫河段2021年11月18日</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2022年2月18日的养护成果于2022年4月7日进行验收，且2022年8月24日为该河段出具了2022年2月18日</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2022年5月18日和2022年5月18日</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2022年8月18日两个季度的验收报告，赵定河兰示段验收阶段为2022年5月29日</w:t>
            </w:r>
            <w:r>
              <w:rPr>
                <w:rFonts w:hint="default" w:ascii="Times New Roman" w:hAnsi="Times New Roman"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2022年8月29日，验收时间为2022年8月24日。考核验收存在滞后或超前等不规范现象。依据评分标准，该项指标得2分。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B224</w:t>
            </w:r>
            <w:r>
              <w:rPr>
                <w:rFonts w:hint="default" w:ascii="Times New Roman" w:hAnsi="Times New Roman" w:eastAsia="仿宋_GB2312" w:cs="Times New Roman"/>
                <w:i w:val="0"/>
                <w:iCs w:val="0"/>
                <w:color w:val="000000"/>
                <w:kern w:val="0"/>
                <w:sz w:val="21"/>
                <w:szCs w:val="21"/>
                <w:u w:val="none"/>
                <w:lang w:val="en-US" w:eastAsia="zh-CN" w:bidi="ar"/>
              </w:rPr>
              <w:t>财务监控有效性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用以反映项目单位是否对财务管理实施有效监管措施。</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已制定或具有相应的监控机制；</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采取了相应的财务检查等必要的监控措施或手段；</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按项目进行成本核算，以及项目成本差异情况；</w:t>
            </w:r>
            <w:r>
              <w:rPr>
                <w:rFonts w:hint="default" w:ascii="Times New Roman" w:hAnsi="Times New Roman" w:eastAsia="宋体" w:cs="Times New Roman"/>
                <w:i w:val="0"/>
                <w:iCs w:val="0"/>
                <w:color w:val="000000"/>
                <w:kern w:val="0"/>
                <w:sz w:val="21"/>
                <w:szCs w:val="21"/>
                <w:u w:val="none"/>
                <w:lang w:val="en-US" w:eastAsia="zh-CN" w:bidi="ar"/>
              </w:rPr>
              <w:t>④</w:t>
            </w:r>
            <w:r>
              <w:rPr>
                <w:rFonts w:hint="default" w:ascii="Times New Roman" w:hAnsi="Times New Roman" w:eastAsia="仿宋_GB2312" w:cs="Times New Roman"/>
                <w:i w:val="0"/>
                <w:iCs w:val="0"/>
                <w:color w:val="000000"/>
                <w:kern w:val="0"/>
                <w:sz w:val="21"/>
                <w:szCs w:val="21"/>
                <w:u w:val="none"/>
                <w:lang w:val="en-US" w:eastAsia="zh-CN" w:bidi="ar"/>
              </w:rPr>
              <w:t>资金使用进行了有效的成本控制。</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四项都符合得满分，各要素分别占</w:t>
            </w:r>
            <w:r>
              <w:rPr>
                <w:rFonts w:hint="default" w:ascii="Times New Roman" w:hAnsi="Times New Roman" w:eastAsia="等线" w:cs="Times New Roman"/>
                <w:i w:val="0"/>
                <w:iCs w:val="0"/>
                <w:color w:val="000000"/>
                <w:kern w:val="0"/>
                <w:sz w:val="21"/>
                <w:szCs w:val="21"/>
                <w:u w:val="none"/>
                <w:lang w:val="en-US" w:eastAsia="zh-CN" w:bidi="ar"/>
              </w:rPr>
              <w:t>25%</w:t>
            </w:r>
            <w:r>
              <w:rPr>
                <w:rFonts w:hint="default" w:ascii="Times New Roman" w:hAnsi="Times New Roman" w:eastAsia="仿宋_GB2312" w:cs="Times New Roman"/>
                <w:i w:val="0"/>
                <w:iCs w:val="0"/>
                <w:color w:val="000000"/>
                <w:kern w:val="0"/>
                <w:sz w:val="21"/>
                <w:szCs w:val="21"/>
                <w:u w:val="none"/>
                <w:lang w:val="en-US" w:eastAsia="zh-CN" w:bidi="ar"/>
              </w:rPr>
              <w:t>权重分值。</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项目单位依据部门财务管理制度及合同约定对本项目的资金支出进行监控，资金支出流程及审批手续健全。依据评分标准，该项指标得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B225</w:t>
            </w:r>
            <w:r>
              <w:rPr>
                <w:rFonts w:hint="default" w:ascii="Times New Roman" w:hAnsi="Times New Roman" w:eastAsia="仿宋_GB2312" w:cs="Times New Roman"/>
                <w:i w:val="0"/>
                <w:iCs w:val="0"/>
                <w:color w:val="000000"/>
                <w:kern w:val="0"/>
                <w:sz w:val="21"/>
                <w:szCs w:val="21"/>
                <w:u w:val="none"/>
                <w:lang w:val="en-US" w:eastAsia="zh-CN" w:bidi="ar"/>
              </w:rPr>
              <w:t>档案管理规范性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考察实施单位在实施过程中的服务工作记录、数据、报告是否及时归档，内容完整、规范。</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档案由专人负责收集整理；</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内容完整、记录方式规范、数据齐全，能够全面反映项目开展过程，便于查询、审计；</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每发现一项数据记录不完整，扣除权重</w:t>
            </w:r>
            <w:r>
              <w:rPr>
                <w:rFonts w:hint="default" w:ascii="Times New Roman" w:hAnsi="Times New Roman" w:eastAsia="等线" w:cs="Times New Roman"/>
                <w:i w:val="0"/>
                <w:iCs w:val="0"/>
                <w:color w:val="000000"/>
                <w:kern w:val="0"/>
                <w:sz w:val="21"/>
                <w:szCs w:val="21"/>
                <w:u w:val="none"/>
                <w:lang w:val="en-US" w:eastAsia="zh-CN" w:bidi="ar"/>
              </w:rPr>
              <w:t>20%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项目单位有专人负责档案资料的对接与收集，相关支出凭证、管理制度、服务合同等均可提供，但存在月评比数据与罚款数据不对应的问题。依据评分标准，该项指标得</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B226</w:t>
            </w:r>
            <w:r>
              <w:rPr>
                <w:rFonts w:hint="default" w:ascii="Times New Roman" w:hAnsi="Times New Roman" w:eastAsia="仿宋_GB2312" w:cs="Times New Roman"/>
                <w:i w:val="0"/>
                <w:iCs w:val="0"/>
                <w:color w:val="000000"/>
                <w:kern w:val="0"/>
                <w:sz w:val="21"/>
                <w:szCs w:val="21"/>
                <w:u w:val="none"/>
                <w:lang w:val="en-US" w:eastAsia="zh-CN" w:bidi="ar"/>
              </w:rPr>
              <w:t>服务资源配置合理性</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用以反映人员配置是否合理；为完成服务任务而必需的设施设备等是否具备。</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人员配置情况：人数、资质、结构（管理人员与一线人员的比例）、敬业、胜任等情况；</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设备设施情况：服务设施、设备配置的合理性。</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两项都符合得满分，缺少一项扣权重分值的</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rPr>
            </w:pPr>
            <w:r>
              <w:rPr>
                <w:rFonts w:hint="default" w:ascii="Times New Roman" w:hAnsi="Times New Roman" w:eastAsia="等线" w:cs="Times New Roman"/>
                <w:i w:val="0"/>
                <w:iCs w:val="0"/>
                <w:color w:val="000000"/>
                <w:kern w:val="0"/>
                <w:sz w:val="21"/>
                <w:szCs w:val="21"/>
                <w:u w:val="none"/>
                <w:lang w:val="en-US" w:eastAsia="zh-CN" w:bidi="ar"/>
              </w:rPr>
              <w:t>1.5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经现场走访，社会化养护标段配备有养护人员及管理人员、打捞船等。但养护人员年龄偏大，部分打捞船损坏未及时维修。依据评分标准，该项指标得1.5分。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 xml:space="preserve">C </w:t>
            </w:r>
            <w:r>
              <w:rPr>
                <w:rFonts w:hint="default" w:ascii="Times New Roman" w:hAnsi="Times New Roman" w:eastAsia="仿宋_GB2312" w:cs="Times New Roman"/>
                <w:i w:val="0"/>
                <w:iCs w:val="0"/>
                <w:color w:val="000000"/>
                <w:kern w:val="0"/>
                <w:sz w:val="21"/>
                <w:szCs w:val="21"/>
                <w:u w:val="none"/>
                <w:lang w:val="en-US" w:eastAsia="zh-CN" w:bidi="ar"/>
              </w:rPr>
              <w:t>产出</w:t>
            </w: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w:t>
            </w:r>
            <w:r>
              <w:rPr>
                <w:rFonts w:hint="default" w:ascii="Times New Roman" w:hAnsi="Times New Roman" w:eastAsia="仿宋_GB2312" w:cs="Times New Roman"/>
                <w:i w:val="0"/>
                <w:iCs w:val="0"/>
                <w:color w:val="000000"/>
                <w:kern w:val="0"/>
                <w:sz w:val="21"/>
                <w:szCs w:val="21"/>
                <w:u w:val="none"/>
                <w:lang w:val="en-US" w:eastAsia="zh-CN" w:bidi="ar"/>
              </w:rPr>
              <w:t>产出数量</w:t>
            </w:r>
          </w:p>
        </w:tc>
        <w:tc>
          <w:tcPr>
            <w:tcW w:w="44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C11</w:t>
            </w:r>
            <w:r>
              <w:rPr>
                <w:rFonts w:hint="default" w:ascii="Times New Roman" w:hAnsi="Times New Roman" w:eastAsia="仿宋_GB2312" w:cs="Times New Roman"/>
                <w:i w:val="0"/>
                <w:iCs w:val="0"/>
                <w:color w:val="000000"/>
                <w:kern w:val="0"/>
                <w:sz w:val="21"/>
                <w:szCs w:val="21"/>
                <w:u w:val="none"/>
                <w:lang w:val="en-US" w:eastAsia="zh-CN" w:bidi="ar"/>
              </w:rPr>
              <w:t>卫河养护完成率</w:t>
            </w: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C111</w:t>
            </w:r>
            <w:r>
              <w:rPr>
                <w:rFonts w:hint="default" w:ascii="Times New Roman" w:hAnsi="Times New Roman" w:eastAsia="仿宋_GB2312" w:cs="Times New Roman"/>
                <w:i w:val="0"/>
                <w:iCs w:val="0"/>
                <w:color w:val="000000"/>
                <w:kern w:val="0"/>
                <w:sz w:val="21"/>
                <w:szCs w:val="21"/>
                <w:u w:val="none"/>
                <w:lang w:val="en-US" w:eastAsia="zh-CN" w:bidi="ar"/>
              </w:rPr>
              <w:t>卫河绿地养护完成率</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考察项目单位对卫河下游养护工作的完成程度。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根据工作计划，完成卫河新中大道橡胶坝至东牧村橡胶坝绿地养护</w:t>
            </w:r>
            <w:r>
              <w:rPr>
                <w:rFonts w:hint="default" w:ascii="Times New Roman" w:hAnsi="Times New Roman" w:eastAsia="等线" w:cs="Times New Roman"/>
                <w:i w:val="0"/>
                <w:iCs w:val="0"/>
                <w:color w:val="000000"/>
                <w:kern w:val="0"/>
                <w:sz w:val="21"/>
                <w:szCs w:val="21"/>
                <w:u w:val="none"/>
                <w:lang w:val="en-US" w:eastAsia="zh-CN" w:bidi="ar"/>
              </w:rPr>
              <w:t>15</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（实际完成工作量</w:t>
            </w:r>
            <w:r>
              <w:rPr>
                <w:rFonts w:hint="default" w:ascii="Times New Roman" w:hAnsi="Times New Roman" w:eastAsia="等线" w:cs="Times New Roman"/>
                <w:i w:val="0"/>
                <w:iCs w:val="0"/>
                <w:color w:val="000000"/>
                <w:kern w:val="0"/>
                <w:sz w:val="21"/>
                <w:szCs w:val="21"/>
                <w:u w:val="none"/>
                <w:lang w:val="en-US" w:eastAsia="zh-CN" w:bidi="ar"/>
              </w:rPr>
              <w:t>/15</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相应分值权重。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河南龙安园林绿化工程有限公司按照合同约定对卫河下游段进行养护，绿地养护面积</w:t>
            </w:r>
            <w:r>
              <w:rPr>
                <w:rFonts w:hint="default" w:ascii="Times New Roman" w:hAnsi="Times New Roman" w:eastAsia="等线" w:cs="Times New Roman"/>
                <w:i w:val="0"/>
                <w:iCs w:val="0"/>
                <w:color w:val="000000"/>
                <w:kern w:val="0"/>
                <w:sz w:val="21"/>
                <w:szCs w:val="21"/>
                <w:u w:val="none"/>
                <w:lang w:val="en-US" w:eastAsia="zh-CN" w:bidi="ar"/>
              </w:rPr>
              <w:t>15</w:t>
            </w:r>
            <w:r>
              <w:rPr>
                <w:rFonts w:hint="default" w:ascii="Times New Roman" w:hAnsi="Times New Roman" w:eastAsia="仿宋_GB2312" w:cs="Times New Roman"/>
                <w:i w:val="0"/>
                <w:iCs w:val="0"/>
                <w:color w:val="000000"/>
                <w:kern w:val="0"/>
                <w:sz w:val="21"/>
                <w:szCs w:val="21"/>
                <w:u w:val="none"/>
                <w:lang w:val="en-US" w:eastAsia="zh-CN" w:bidi="ar"/>
              </w:rPr>
              <w:t>万平方米，主要负责绿地植物修剪、浇水及垃圾清扫等工作，年度绿地养护工作完成率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C112</w:t>
            </w:r>
            <w:r>
              <w:rPr>
                <w:rFonts w:hint="default" w:ascii="Times New Roman" w:hAnsi="Times New Roman" w:eastAsia="仿宋_GB2312" w:cs="Times New Roman"/>
                <w:i w:val="0"/>
                <w:iCs w:val="0"/>
                <w:color w:val="000000"/>
                <w:kern w:val="0"/>
                <w:sz w:val="21"/>
                <w:szCs w:val="21"/>
                <w:u w:val="none"/>
                <w:lang w:val="en-US" w:eastAsia="zh-CN" w:bidi="ar"/>
              </w:rPr>
              <w:t>卫河水面养护完成率</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考察项目单位对卫河下游养护工作的完成程度。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根据工作计划，完成卫河新中大道橡胶坝至东牧村橡胶坝水面养护</w:t>
            </w:r>
            <w:r>
              <w:rPr>
                <w:rFonts w:hint="default" w:ascii="Times New Roman" w:hAnsi="Times New Roman" w:eastAsia="等线" w:cs="Times New Roman"/>
                <w:i w:val="0"/>
                <w:iCs w:val="0"/>
                <w:color w:val="000000"/>
                <w:kern w:val="0"/>
                <w:sz w:val="21"/>
                <w:szCs w:val="21"/>
                <w:u w:val="none"/>
                <w:lang w:val="en-US" w:eastAsia="zh-CN" w:bidi="ar"/>
              </w:rPr>
              <w:t>20</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（实际完成工作量</w:t>
            </w:r>
            <w:r>
              <w:rPr>
                <w:rFonts w:hint="default" w:ascii="Times New Roman" w:hAnsi="Times New Roman" w:eastAsia="等线" w:cs="Times New Roman"/>
                <w:i w:val="0"/>
                <w:iCs w:val="0"/>
                <w:color w:val="000000"/>
                <w:kern w:val="0"/>
                <w:sz w:val="21"/>
                <w:szCs w:val="21"/>
                <w:u w:val="none"/>
                <w:lang w:val="en-US" w:eastAsia="zh-CN" w:bidi="ar"/>
              </w:rPr>
              <w:t>/20</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相应分值权重。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养护单位依据合同约定对卫河下游段水面进行社会化养护，主要包括水面垃圾的清理、水域安全管理、相关设施的维修维护等，年度内卫河下游水面养护工作完成率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C12</w:t>
            </w:r>
            <w:r>
              <w:rPr>
                <w:rFonts w:hint="default" w:ascii="Times New Roman" w:hAnsi="Times New Roman" w:eastAsia="仿宋_GB2312" w:cs="Times New Roman"/>
                <w:i w:val="0"/>
                <w:iCs w:val="0"/>
                <w:color w:val="000000"/>
                <w:kern w:val="0"/>
                <w:sz w:val="21"/>
                <w:szCs w:val="21"/>
                <w:u w:val="none"/>
                <w:lang w:val="en-US" w:eastAsia="zh-CN" w:bidi="ar"/>
              </w:rPr>
              <w:t>赵定河养护完成率</w:t>
            </w: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C121</w:t>
            </w:r>
            <w:r>
              <w:rPr>
                <w:rFonts w:hint="default" w:ascii="Times New Roman" w:hAnsi="Times New Roman" w:eastAsia="仿宋_GB2312" w:cs="Times New Roman"/>
                <w:i w:val="0"/>
                <w:iCs w:val="0"/>
                <w:color w:val="000000"/>
                <w:kern w:val="0"/>
                <w:sz w:val="21"/>
                <w:szCs w:val="21"/>
                <w:u w:val="none"/>
                <w:lang w:val="en-US" w:eastAsia="zh-CN" w:bidi="ar"/>
              </w:rPr>
              <w:t>赵定河绿地养护完成率</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考察项目单位对赵定河养护工作的完成程度。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根据工作计划，完成赵定河绿地养护</w:t>
            </w:r>
            <w:r>
              <w:rPr>
                <w:rFonts w:hint="default" w:ascii="Times New Roman" w:hAnsi="Times New Roman" w:eastAsia="等线" w:cs="Times New Roman"/>
                <w:i w:val="0"/>
                <w:iCs w:val="0"/>
                <w:color w:val="000000"/>
                <w:kern w:val="0"/>
                <w:sz w:val="21"/>
                <w:szCs w:val="21"/>
                <w:u w:val="none"/>
                <w:lang w:val="en-US" w:eastAsia="zh-CN" w:bidi="ar"/>
              </w:rPr>
              <w:t>26.5</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（实际完成工作量</w:t>
            </w:r>
            <w:r>
              <w:rPr>
                <w:rFonts w:hint="default" w:ascii="Times New Roman" w:hAnsi="Times New Roman" w:eastAsia="等线" w:cs="Times New Roman"/>
                <w:i w:val="0"/>
                <w:iCs w:val="0"/>
                <w:color w:val="000000"/>
                <w:kern w:val="0"/>
                <w:sz w:val="21"/>
                <w:szCs w:val="21"/>
                <w:u w:val="none"/>
                <w:lang w:val="en-US" w:eastAsia="zh-CN" w:bidi="ar"/>
              </w:rPr>
              <w:t>/26.5</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相应分值权重。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中标单位按照合同约定对赵定河</w:t>
            </w:r>
            <w:r>
              <w:rPr>
                <w:rFonts w:hint="default" w:ascii="Times New Roman" w:hAnsi="Times New Roman" w:eastAsia="等线" w:cs="Times New Roman"/>
                <w:i w:val="0"/>
                <w:iCs w:val="0"/>
                <w:color w:val="000000"/>
                <w:kern w:val="0"/>
                <w:sz w:val="21"/>
                <w:szCs w:val="21"/>
                <w:u w:val="none"/>
                <w:lang w:val="en-US" w:eastAsia="zh-CN" w:bidi="ar"/>
              </w:rPr>
              <w:t>26.5</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绿地面积进行养护，包括绿地植物修剪、浇水及垃圾清扫等工作，年度内赵定河</w:t>
            </w:r>
            <w:r>
              <w:rPr>
                <w:rFonts w:hint="default" w:ascii="Times New Roman" w:hAnsi="Times New Roman" w:eastAsia="等线" w:cs="Times New Roman"/>
                <w:i w:val="0"/>
                <w:iCs w:val="0"/>
                <w:color w:val="000000"/>
                <w:kern w:val="0"/>
                <w:sz w:val="21"/>
                <w:szCs w:val="21"/>
                <w:u w:val="none"/>
                <w:lang w:val="en-US" w:eastAsia="zh-CN" w:bidi="ar"/>
              </w:rPr>
              <w:t>6</w:t>
            </w:r>
            <w:r>
              <w:rPr>
                <w:rFonts w:hint="default" w:ascii="Times New Roman" w:hAnsi="Times New Roman" w:eastAsia="仿宋_GB2312" w:cs="Times New Roman"/>
                <w:i w:val="0"/>
                <w:iCs w:val="0"/>
                <w:color w:val="000000"/>
                <w:kern w:val="0"/>
                <w:sz w:val="21"/>
                <w:szCs w:val="21"/>
                <w:u w:val="none"/>
                <w:lang w:val="en-US" w:eastAsia="zh-CN" w:bidi="ar"/>
              </w:rPr>
              <w:t>个河段绿地养护完成率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C122</w:t>
            </w:r>
            <w:r>
              <w:rPr>
                <w:rFonts w:hint="default" w:ascii="Times New Roman" w:hAnsi="Times New Roman" w:eastAsia="仿宋_GB2312" w:cs="Times New Roman"/>
                <w:i w:val="0"/>
                <w:iCs w:val="0"/>
                <w:color w:val="000000"/>
                <w:kern w:val="0"/>
                <w:sz w:val="21"/>
                <w:szCs w:val="21"/>
                <w:u w:val="none"/>
                <w:lang w:val="en-US" w:eastAsia="zh-CN" w:bidi="ar"/>
              </w:rPr>
              <w:t>赵定河水面养护完成率</w:t>
            </w: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考察项目单位对赵定河养护工作的完成程度。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根据工作计划，完成赵定河水面养护</w:t>
            </w:r>
            <w:r>
              <w:rPr>
                <w:rFonts w:hint="default" w:ascii="Times New Roman" w:hAnsi="Times New Roman" w:eastAsia="等线" w:cs="Times New Roman"/>
                <w:i w:val="0"/>
                <w:iCs w:val="0"/>
                <w:color w:val="000000"/>
                <w:kern w:val="0"/>
                <w:sz w:val="21"/>
                <w:szCs w:val="21"/>
                <w:u w:val="none"/>
                <w:lang w:val="en-US" w:eastAsia="zh-CN" w:bidi="ar"/>
              </w:rPr>
              <w:t>23.43</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指标分值</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（实际完成工作量</w:t>
            </w:r>
            <w:r>
              <w:rPr>
                <w:rFonts w:hint="default" w:ascii="Times New Roman" w:hAnsi="Times New Roman" w:eastAsia="等线" w:cs="Times New Roman"/>
                <w:i w:val="0"/>
                <w:iCs w:val="0"/>
                <w:color w:val="000000"/>
                <w:kern w:val="0"/>
                <w:sz w:val="21"/>
                <w:szCs w:val="21"/>
                <w:u w:val="none"/>
                <w:lang w:val="en-US" w:eastAsia="zh-CN" w:bidi="ar"/>
              </w:rPr>
              <w:t>/23.43</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相应分值权重。</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中标单位按照合同约定对赵定河</w:t>
            </w:r>
            <w:r>
              <w:rPr>
                <w:rFonts w:hint="default" w:ascii="Times New Roman" w:hAnsi="Times New Roman" w:eastAsia="等线" w:cs="Times New Roman"/>
                <w:i w:val="0"/>
                <w:iCs w:val="0"/>
                <w:color w:val="000000"/>
                <w:kern w:val="0"/>
                <w:sz w:val="21"/>
                <w:szCs w:val="21"/>
                <w:u w:val="none"/>
                <w:lang w:val="en-US" w:eastAsia="zh-CN" w:bidi="ar"/>
              </w:rPr>
              <w:t>23.43</w:t>
            </w:r>
            <w:r>
              <w:rPr>
                <w:rFonts w:hint="default" w:ascii="Times New Roman" w:hAnsi="Times New Roman" w:eastAsia="仿宋_GB2312" w:cs="Times New Roman"/>
                <w:i w:val="0"/>
                <w:iCs w:val="0"/>
                <w:color w:val="000000"/>
                <w:kern w:val="0"/>
                <w:sz w:val="21"/>
                <w:szCs w:val="21"/>
                <w:u w:val="none"/>
                <w:lang w:val="en-US" w:eastAsia="zh-CN" w:bidi="ar"/>
              </w:rPr>
              <w:t>万</w:t>
            </w:r>
            <w:r>
              <w:rPr>
                <w:rFonts w:hint="default" w:ascii="Times New Roman" w:hAnsi="Times New Roman" w:eastAsia="等线" w:cs="Times New Roman"/>
                <w:i w:val="0"/>
                <w:iCs w:val="0"/>
                <w:color w:val="000000"/>
                <w:kern w:val="0"/>
                <w:sz w:val="21"/>
                <w:szCs w:val="21"/>
                <w:u w:val="none"/>
                <w:lang w:val="en-US" w:eastAsia="zh-CN" w:bidi="ar"/>
              </w:rPr>
              <w:t>m²</w:t>
            </w:r>
            <w:r>
              <w:rPr>
                <w:rFonts w:hint="default" w:ascii="Times New Roman" w:hAnsi="Times New Roman" w:eastAsia="仿宋_GB2312" w:cs="Times New Roman"/>
                <w:i w:val="0"/>
                <w:iCs w:val="0"/>
                <w:color w:val="000000"/>
                <w:kern w:val="0"/>
                <w:sz w:val="21"/>
                <w:szCs w:val="21"/>
                <w:u w:val="none"/>
                <w:lang w:val="en-US" w:eastAsia="zh-CN" w:bidi="ar"/>
              </w:rPr>
              <w:t>水面面积进行社会化养护，包括水面垃圾清理、水域安全管理、相关设施维护等，年度内赵定河</w:t>
            </w:r>
            <w:r>
              <w:rPr>
                <w:rFonts w:hint="default" w:ascii="Times New Roman" w:hAnsi="Times New Roman" w:eastAsia="等线" w:cs="Times New Roman"/>
                <w:i w:val="0"/>
                <w:iCs w:val="0"/>
                <w:color w:val="000000"/>
                <w:kern w:val="0"/>
                <w:sz w:val="21"/>
                <w:szCs w:val="21"/>
                <w:u w:val="none"/>
                <w:lang w:val="en-US" w:eastAsia="zh-CN" w:bidi="ar"/>
              </w:rPr>
              <w:t>6</w:t>
            </w:r>
            <w:r>
              <w:rPr>
                <w:rFonts w:hint="default" w:ascii="Times New Roman" w:hAnsi="Times New Roman" w:eastAsia="仿宋_GB2312" w:cs="Times New Roman"/>
                <w:i w:val="0"/>
                <w:iCs w:val="0"/>
                <w:color w:val="000000"/>
                <w:kern w:val="0"/>
                <w:sz w:val="21"/>
                <w:szCs w:val="21"/>
                <w:u w:val="none"/>
                <w:lang w:val="en-US" w:eastAsia="zh-CN" w:bidi="ar"/>
              </w:rPr>
              <w:t>个河段水面养护面积养护完成率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C2</w:t>
            </w:r>
            <w:r>
              <w:rPr>
                <w:rFonts w:hint="default" w:ascii="Times New Roman" w:hAnsi="Times New Roman" w:eastAsia="仿宋_GB2312" w:cs="Times New Roman"/>
                <w:i w:val="0"/>
                <w:iCs w:val="0"/>
                <w:color w:val="000000"/>
                <w:kern w:val="0"/>
                <w:sz w:val="21"/>
                <w:szCs w:val="21"/>
                <w:u w:val="none"/>
                <w:lang w:val="en-US" w:eastAsia="zh-CN" w:bidi="ar"/>
              </w:rPr>
              <w:t>产出质量</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C21</w:t>
            </w:r>
            <w:r>
              <w:rPr>
                <w:rFonts w:hint="default" w:ascii="Times New Roman" w:hAnsi="Times New Roman" w:eastAsia="仿宋_GB2312" w:cs="Times New Roman"/>
                <w:i w:val="0"/>
                <w:iCs w:val="0"/>
                <w:color w:val="000000"/>
                <w:kern w:val="0"/>
                <w:sz w:val="21"/>
                <w:szCs w:val="21"/>
                <w:u w:val="none"/>
                <w:lang w:val="en-US" w:eastAsia="zh-CN" w:bidi="ar"/>
              </w:rPr>
              <w:t>卫河养护验收合格率</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考察卫河养护验收合格情况。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验收合格率</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验收通过量</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实际完成量</w:t>
            </w:r>
            <w:r>
              <w:rPr>
                <w:rFonts w:hint="default" w:ascii="Times New Roman" w:hAnsi="Times New Roman" w:eastAsia="等线" w:cs="Times New Roman"/>
                <w:i w:val="0"/>
                <w:iCs w:val="0"/>
                <w:color w:val="000000"/>
                <w:kern w:val="0"/>
                <w:sz w:val="21"/>
                <w:szCs w:val="21"/>
                <w:u w:val="none"/>
                <w:lang w:val="en-US" w:eastAsia="zh-CN" w:bidi="ar"/>
              </w:rPr>
              <w:t>*100%</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验收合格率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得满分，每降低</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，扣除权重</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根据项目单位提供的验收报告及管理简报，卫河段年度内有多次罚款现象。</w:t>
            </w:r>
            <w:r>
              <w:rPr>
                <w:rFonts w:hint="default" w:ascii="Times New Roman" w:hAnsi="Times New Roman" w:eastAsia="等线" w:cs="Times New Roman"/>
                <w:i w:val="0"/>
                <w:iCs w:val="0"/>
                <w:color w:val="000000"/>
                <w:kern w:val="0"/>
                <w:sz w:val="21"/>
                <w:szCs w:val="21"/>
                <w:u w:val="none"/>
                <w:lang w:val="en-US" w:eastAsia="zh-CN" w:bidi="ar"/>
              </w:rPr>
              <w:t>2022</w:t>
            </w:r>
            <w:r>
              <w:rPr>
                <w:rFonts w:hint="default" w:ascii="Times New Roman" w:hAnsi="Times New Roman" w:eastAsia="仿宋_GB2312" w:cs="Times New Roman"/>
                <w:i w:val="0"/>
                <w:iCs w:val="0"/>
                <w:color w:val="000000"/>
                <w:kern w:val="0"/>
                <w:sz w:val="21"/>
                <w:szCs w:val="21"/>
                <w:u w:val="none"/>
                <w:lang w:val="en-US" w:eastAsia="zh-CN" w:bidi="ar"/>
              </w:rPr>
              <w:t>年</w:t>
            </w:r>
            <w:r>
              <w:rPr>
                <w:rFonts w:hint="default" w:ascii="Times New Roman" w:hAnsi="Times New Roman" w:eastAsia="等线" w:cs="Times New Roman"/>
                <w:i w:val="0"/>
                <w:iCs w:val="0"/>
                <w:color w:val="000000"/>
                <w:kern w:val="0"/>
                <w:sz w:val="21"/>
                <w:szCs w:val="21"/>
                <w:u w:val="none"/>
                <w:lang w:val="en-US" w:eastAsia="zh-CN" w:bidi="ar"/>
              </w:rPr>
              <w:t>1-7</w:t>
            </w:r>
            <w:r>
              <w:rPr>
                <w:rFonts w:hint="default" w:ascii="Times New Roman" w:hAnsi="Times New Roman" w:eastAsia="仿宋_GB2312" w:cs="Times New Roman"/>
                <w:i w:val="0"/>
                <w:iCs w:val="0"/>
                <w:color w:val="000000"/>
                <w:kern w:val="0"/>
                <w:sz w:val="21"/>
                <w:szCs w:val="21"/>
                <w:u w:val="none"/>
                <w:lang w:val="en-US" w:eastAsia="zh-CN" w:bidi="ar"/>
              </w:rPr>
              <w:t>月份，</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数字城管发案</w:t>
            </w:r>
            <w:r>
              <w:rPr>
                <w:rFonts w:hint="default" w:ascii="Times New Roman" w:hAnsi="Times New Roman" w:eastAsia="等线" w:cs="Times New Roman"/>
                <w:i w:val="0"/>
                <w:iCs w:val="0"/>
                <w:color w:val="000000"/>
                <w:kern w:val="0"/>
                <w:sz w:val="21"/>
                <w:szCs w:val="21"/>
                <w:u w:val="none"/>
                <w:lang w:val="en-US" w:eastAsia="zh-CN" w:bidi="ar"/>
              </w:rPr>
              <w:t>”22</w:t>
            </w:r>
            <w:r>
              <w:rPr>
                <w:rFonts w:hint="default" w:ascii="Times New Roman" w:hAnsi="Times New Roman" w:eastAsia="仿宋_GB2312" w:cs="Times New Roman"/>
                <w:i w:val="0"/>
                <w:iCs w:val="0"/>
                <w:color w:val="000000"/>
                <w:kern w:val="0"/>
                <w:sz w:val="21"/>
                <w:szCs w:val="21"/>
                <w:u w:val="none"/>
                <w:lang w:val="en-US" w:eastAsia="zh-CN" w:bidi="ar"/>
              </w:rPr>
              <w:t>起，</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数字河管</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发案</w:t>
            </w:r>
            <w:r>
              <w:rPr>
                <w:rFonts w:hint="default" w:ascii="Times New Roman" w:hAnsi="Times New Roman" w:eastAsia="等线" w:cs="Times New Roman"/>
                <w:i w:val="0"/>
                <w:iCs w:val="0"/>
                <w:color w:val="000000"/>
                <w:kern w:val="0"/>
                <w:sz w:val="21"/>
                <w:szCs w:val="21"/>
                <w:u w:val="none"/>
                <w:lang w:val="en-US" w:eastAsia="zh-CN" w:bidi="ar"/>
              </w:rPr>
              <w:t>6456</w:t>
            </w:r>
            <w:r>
              <w:rPr>
                <w:rFonts w:hint="default" w:ascii="Times New Roman" w:hAnsi="Times New Roman" w:eastAsia="仿宋_GB2312" w:cs="Times New Roman"/>
                <w:i w:val="0"/>
                <w:iCs w:val="0"/>
                <w:color w:val="000000"/>
                <w:kern w:val="0"/>
                <w:sz w:val="21"/>
                <w:szCs w:val="21"/>
                <w:u w:val="none"/>
                <w:lang w:val="en-US" w:eastAsia="zh-CN" w:bidi="ar"/>
              </w:rPr>
              <w:t>起。且现场踏勘发现，草地内多有宠物排泄物未及时清理。依据评分标准，该项指标得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C22</w:t>
            </w:r>
            <w:r>
              <w:rPr>
                <w:rFonts w:hint="default" w:ascii="Times New Roman" w:hAnsi="Times New Roman" w:eastAsia="仿宋_GB2312" w:cs="Times New Roman"/>
                <w:i w:val="0"/>
                <w:iCs w:val="0"/>
                <w:color w:val="000000"/>
                <w:kern w:val="0"/>
                <w:sz w:val="21"/>
                <w:szCs w:val="21"/>
                <w:u w:val="none"/>
                <w:lang w:val="en-US" w:eastAsia="zh-CN" w:bidi="ar"/>
              </w:rPr>
              <w:t>赵定河养护验收合格率</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考察赵定河养护验收合格情况。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验收合格率</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验收通过量</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实际完成量</w:t>
            </w:r>
            <w:r>
              <w:rPr>
                <w:rFonts w:hint="default" w:ascii="Times New Roman" w:hAnsi="Times New Roman" w:eastAsia="等线" w:cs="Times New Roman"/>
                <w:i w:val="0"/>
                <w:iCs w:val="0"/>
                <w:color w:val="000000"/>
                <w:kern w:val="0"/>
                <w:sz w:val="21"/>
                <w:szCs w:val="21"/>
                <w:u w:val="none"/>
                <w:lang w:val="en-US" w:eastAsia="zh-CN" w:bidi="ar"/>
              </w:rPr>
              <w:t>*100%</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验收合格率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得满分，每降低</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，扣除权重</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根据项目单位提供的验收报告及管理简报，赵定河年度内有多次罚款现象，</w:t>
            </w:r>
            <w:r>
              <w:rPr>
                <w:rFonts w:hint="default" w:ascii="Times New Roman" w:hAnsi="Times New Roman" w:eastAsia="等线" w:cs="Times New Roman"/>
                <w:i w:val="0"/>
                <w:iCs w:val="0"/>
                <w:color w:val="000000"/>
                <w:kern w:val="0"/>
                <w:sz w:val="21"/>
                <w:szCs w:val="21"/>
                <w:u w:val="none"/>
                <w:lang w:val="en-US" w:eastAsia="zh-CN" w:bidi="ar"/>
              </w:rPr>
              <w:t>2022</w:t>
            </w:r>
            <w:r>
              <w:rPr>
                <w:rFonts w:hint="default" w:ascii="Times New Roman" w:hAnsi="Times New Roman" w:eastAsia="仿宋_GB2312" w:cs="Times New Roman"/>
                <w:i w:val="0"/>
                <w:iCs w:val="0"/>
                <w:color w:val="000000"/>
                <w:kern w:val="0"/>
                <w:sz w:val="21"/>
                <w:szCs w:val="21"/>
                <w:u w:val="none"/>
                <w:lang w:val="en-US" w:eastAsia="zh-CN" w:bidi="ar"/>
              </w:rPr>
              <w:t>年</w:t>
            </w:r>
            <w:r>
              <w:rPr>
                <w:rFonts w:hint="default" w:ascii="Times New Roman" w:hAnsi="Times New Roman" w:eastAsia="等线" w:cs="Times New Roman"/>
                <w:i w:val="0"/>
                <w:iCs w:val="0"/>
                <w:color w:val="000000"/>
                <w:kern w:val="0"/>
                <w:sz w:val="21"/>
                <w:szCs w:val="21"/>
                <w:u w:val="none"/>
                <w:lang w:val="en-US" w:eastAsia="zh-CN" w:bidi="ar"/>
              </w:rPr>
              <w:t>1-7</w:t>
            </w:r>
            <w:r>
              <w:rPr>
                <w:rFonts w:hint="default" w:ascii="Times New Roman" w:hAnsi="Times New Roman" w:eastAsia="仿宋_GB2312" w:cs="Times New Roman"/>
                <w:i w:val="0"/>
                <w:iCs w:val="0"/>
                <w:color w:val="000000"/>
                <w:kern w:val="0"/>
                <w:sz w:val="21"/>
                <w:szCs w:val="21"/>
                <w:u w:val="none"/>
                <w:lang w:val="en-US" w:eastAsia="zh-CN" w:bidi="ar"/>
              </w:rPr>
              <w:t>月</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数字城管</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发案</w:t>
            </w:r>
            <w:r>
              <w:rPr>
                <w:rFonts w:hint="default" w:ascii="Times New Roman" w:hAnsi="Times New Roman" w:eastAsia="等线" w:cs="Times New Roman"/>
                <w:i w:val="0"/>
                <w:iCs w:val="0"/>
                <w:color w:val="000000"/>
                <w:kern w:val="0"/>
                <w:sz w:val="21"/>
                <w:szCs w:val="21"/>
                <w:u w:val="none"/>
                <w:lang w:val="en-US" w:eastAsia="zh-CN" w:bidi="ar"/>
              </w:rPr>
              <w:t>12</w:t>
            </w:r>
            <w:r>
              <w:rPr>
                <w:rFonts w:hint="default" w:ascii="Times New Roman" w:hAnsi="Times New Roman" w:eastAsia="仿宋_GB2312" w:cs="Times New Roman"/>
                <w:i w:val="0"/>
                <w:iCs w:val="0"/>
                <w:color w:val="000000"/>
                <w:kern w:val="0"/>
                <w:sz w:val="21"/>
                <w:szCs w:val="21"/>
                <w:u w:val="none"/>
                <w:lang w:val="en-US" w:eastAsia="zh-CN" w:bidi="ar"/>
              </w:rPr>
              <w:t>起，</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数字河管</w:t>
            </w:r>
            <w:r>
              <w:rPr>
                <w:rFonts w:hint="default" w:ascii="Times New Roman" w:hAnsi="Times New Roman" w:eastAsia="等线" w:cs="Times New Roman"/>
                <w:i w:val="0"/>
                <w:iCs w:val="0"/>
                <w:color w:val="000000"/>
                <w:kern w:val="0"/>
                <w:sz w:val="21"/>
                <w:szCs w:val="21"/>
                <w:u w:val="none"/>
                <w:lang w:val="en-US" w:eastAsia="zh-CN" w:bidi="ar"/>
              </w:rPr>
              <w:t>”</w:t>
            </w:r>
            <w:r>
              <w:rPr>
                <w:rFonts w:hint="default" w:ascii="Times New Roman" w:hAnsi="Times New Roman" w:eastAsia="仿宋_GB2312" w:cs="Times New Roman"/>
                <w:i w:val="0"/>
                <w:iCs w:val="0"/>
                <w:color w:val="000000"/>
                <w:kern w:val="0"/>
                <w:sz w:val="21"/>
                <w:szCs w:val="21"/>
                <w:u w:val="none"/>
                <w:lang w:val="en-US" w:eastAsia="zh-CN" w:bidi="ar"/>
              </w:rPr>
              <w:t>发案</w:t>
            </w:r>
            <w:r>
              <w:rPr>
                <w:rFonts w:hint="default" w:ascii="Times New Roman" w:hAnsi="Times New Roman" w:eastAsia="等线" w:cs="Times New Roman"/>
                <w:i w:val="0"/>
                <w:iCs w:val="0"/>
                <w:color w:val="000000"/>
                <w:kern w:val="0"/>
                <w:sz w:val="21"/>
                <w:szCs w:val="21"/>
                <w:u w:val="none"/>
                <w:lang w:val="en-US" w:eastAsia="zh-CN" w:bidi="ar"/>
              </w:rPr>
              <w:t>8650</w:t>
            </w:r>
            <w:r>
              <w:rPr>
                <w:rFonts w:hint="default" w:ascii="Times New Roman" w:hAnsi="Times New Roman" w:eastAsia="仿宋_GB2312" w:cs="Times New Roman"/>
                <w:i w:val="0"/>
                <w:iCs w:val="0"/>
                <w:color w:val="000000"/>
                <w:kern w:val="0"/>
                <w:sz w:val="21"/>
                <w:szCs w:val="21"/>
                <w:u w:val="none"/>
                <w:lang w:val="en-US" w:eastAsia="zh-CN" w:bidi="ar"/>
              </w:rPr>
              <w:t>起，且</w:t>
            </w:r>
            <w:r>
              <w:rPr>
                <w:rFonts w:hint="default" w:ascii="Times New Roman" w:hAnsi="Times New Roman" w:eastAsia="等线" w:cs="Times New Roman"/>
                <w:i w:val="0"/>
                <w:iCs w:val="0"/>
                <w:color w:val="000000"/>
                <w:kern w:val="0"/>
                <w:sz w:val="21"/>
                <w:szCs w:val="21"/>
                <w:u w:val="none"/>
                <w:lang w:val="en-US" w:eastAsia="zh-CN" w:bidi="ar"/>
              </w:rPr>
              <w:t>4-7</w:t>
            </w:r>
            <w:r>
              <w:rPr>
                <w:rFonts w:hint="default" w:ascii="Times New Roman" w:hAnsi="Times New Roman" w:eastAsia="仿宋_GB2312" w:cs="Times New Roman"/>
                <w:i w:val="0"/>
                <w:iCs w:val="0"/>
                <w:color w:val="000000"/>
                <w:kern w:val="0"/>
                <w:sz w:val="21"/>
                <w:szCs w:val="21"/>
                <w:u w:val="none"/>
                <w:lang w:val="en-US" w:eastAsia="zh-CN" w:bidi="ar"/>
              </w:rPr>
              <w:t>月份存在</w:t>
            </w:r>
            <w:r>
              <w:rPr>
                <w:rFonts w:hint="default" w:ascii="Times New Roman" w:hAnsi="Times New Roman" w:eastAsia="等线" w:cs="Times New Roman"/>
                <w:i w:val="0"/>
                <w:iCs w:val="0"/>
                <w:color w:val="000000"/>
                <w:kern w:val="0"/>
                <w:sz w:val="21"/>
                <w:szCs w:val="21"/>
                <w:u w:val="none"/>
                <w:lang w:val="en-US" w:eastAsia="zh-CN" w:bidi="ar"/>
              </w:rPr>
              <w:t>7</w:t>
            </w:r>
            <w:r>
              <w:rPr>
                <w:rFonts w:hint="default" w:ascii="Times New Roman" w:hAnsi="Times New Roman" w:eastAsia="仿宋_GB2312" w:cs="Times New Roman"/>
                <w:i w:val="0"/>
                <w:iCs w:val="0"/>
                <w:color w:val="000000"/>
                <w:kern w:val="0"/>
                <w:sz w:val="21"/>
                <w:szCs w:val="21"/>
                <w:u w:val="none"/>
                <w:lang w:val="en-US" w:eastAsia="zh-CN" w:bidi="ar"/>
              </w:rPr>
              <w:t>次二次派遣任务，现场踏勘时，部分河段河面落叶较多，草地内动物排泄物清理不及时现象尤为严重。依据评分标准，该项指标得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C3</w:t>
            </w:r>
            <w:r>
              <w:rPr>
                <w:rFonts w:hint="default" w:ascii="Times New Roman" w:hAnsi="Times New Roman" w:eastAsia="仿宋_GB2312" w:cs="Times New Roman"/>
                <w:i w:val="0"/>
                <w:iCs w:val="0"/>
                <w:color w:val="000000"/>
                <w:kern w:val="0"/>
                <w:sz w:val="21"/>
                <w:szCs w:val="21"/>
                <w:u w:val="none"/>
                <w:lang w:val="en-US" w:eastAsia="zh-CN" w:bidi="ar"/>
              </w:rPr>
              <w:t>产出时效</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C31</w:t>
            </w:r>
            <w:r>
              <w:rPr>
                <w:rFonts w:hint="default" w:ascii="Times New Roman" w:hAnsi="Times New Roman" w:eastAsia="仿宋_GB2312" w:cs="Times New Roman"/>
                <w:i w:val="0"/>
                <w:iCs w:val="0"/>
                <w:color w:val="000000"/>
                <w:kern w:val="0"/>
                <w:sz w:val="21"/>
                <w:szCs w:val="21"/>
                <w:u w:val="none"/>
                <w:lang w:val="en-US" w:eastAsia="zh-CN" w:bidi="ar"/>
              </w:rPr>
              <w:t>卫河养护及时性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按合同及时完成养护内容</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所有养护工作均及时完成。</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及时养护得满分，发现一天未养护，扣权重分值的</w:t>
            </w:r>
            <w:r>
              <w:rPr>
                <w:rFonts w:hint="default" w:ascii="Times New Roman" w:hAnsi="Times New Roman" w:eastAsia="等线" w:cs="Times New Roman"/>
                <w:i w:val="0"/>
                <w:iCs w:val="0"/>
                <w:color w:val="000000"/>
                <w:kern w:val="0"/>
                <w:sz w:val="21"/>
                <w:szCs w:val="21"/>
                <w:u w:val="none"/>
                <w:lang w:val="en-US" w:eastAsia="zh-CN" w:bidi="ar"/>
              </w:rPr>
              <w:t>10%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根据项目单位提供的资料，中标单位按照养护标准，及时对卫河段进行养护。依据评分标准，该项指标得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C32</w:t>
            </w:r>
            <w:r>
              <w:rPr>
                <w:rFonts w:hint="default" w:ascii="Times New Roman" w:hAnsi="Times New Roman" w:eastAsia="仿宋_GB2312" w:cs="Times New Roman"/>
                <w:i w:val="0"/>
                <w:iCs w:val="0"/>
                <w:color w:val="000000"/>
                <w:kern w:val="0"/>
                <w:sz w:val="21"/>
                <w:szCs w:val="21"/>
                <w:u w:val="none"/>
                <w:lang w:val="en-US" w:eastAsia="zh-CN" w:bidi="ar"/>
              </w:rPr>
              <w:t>赵定河养护及时性</w:t>
            </w:r>
          </w:p>
        </w:tc>
        <w:tc>
          <w:tcPr>
            <w:tcW w:w="492"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按合同约定及时完成养护内容</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所有养护工作均及时完成。</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及时养护得满分，发现一天未养护，扣权重分值的</w:t>
            </w:r>
            <w:r>
              <w:rPr>
                <w:rFonts w:hint="default" w:ascii="Times New Roman" w:hAnsi="Times New Roman" w:eastAsia="等线" w:cs="Times New Roman"/>
                <w:i w:val="0"/>
                <w:iCs w:val="0"/>
                <w:color w:val="000000"/>
                <w:kern w:val="0"/>
                <w:sz w:val="21"/>
                <w:szCs w:val="21"/>
                <w:u w:val="none"/>
                <w:lang w:val="en-US" w:eastAsia="zh-CN" w:bidi="ar"/>
              </w:rPr>
              <w:t>10%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根据项目单位提供的资料，中标单位按照养护标准，及时对赵定河</w:t>
            </w:r>
            <w:r>
              <w:rPr>
                <w:rFonts w:hint="default" w:ascii="Times New Roman" w:hAnsi="Times New Roman" w:eastAsia="等线" w:cs="Times New Roman"/>
                <w:i w:val="0"/>
                <w:iCs w:val="0"/>
                <w:color w:val="000000"/>
                <w:kern w:val="0"/>
                <w:sz w:val="21"/>
                <w:szCs w:val="21"/>
                <w:u w:val="none"/>
                <w:lang w:val="en-US" w:eastAsia="zh-CN" w:bidi="ar"/>
              </w:rPr>
              <w:t>6</w:t>
            </w:r>
            <w:r>
              <w:rPr>
                <w:rFonts w:hint="default" w:ascii="Times New Roman" w:hAnsi="Times New Roman" w:eastAsia="仿宋_GB2312" w:cs="Times New Roman"/>
                <w:i w:val="0"/>
                <w:iCs w:val="0"/>
                <w:color w:val="000000"/>
                <w:kern w:val="0"/>
                <w:sz w:val="21"/>
                <w:szCs w:val="21"/>
                <w:u w:val="none"/>
                <w:lang w:val="en-US" w:eastAsia="zh-CN" w:bidi="ar"/>
              </w:rPr>
              <w:t>个河段进行养护。依据评分标准，该项指标得</w:t>
            </w:r>
            <w:r>
              <w:rPr>
                <w:rFonts w:hint="default" w:ascii="Times New Roman" w:hAnsi="Times New Roman" w:eastAsia="等线" w:cs="Times New Roman"/>
                <w:i w:val="0"/>
                <w:iCs w:val="0"/>
                <w:color w:val="000000"/>
                <w:kern w:val="0"/>
                <w:sz w:val="21"/>
                <w:szCs w:val="21"/>
                <w:u w:val="none"/>
                <w:lang w:val="en-US" w:eastAsia="zh-CN" w:bidi="ar"/>
              </w:rPr>
              <w:t>4</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C4</w:t>
            </w:r>
            <w:r>
              <w:rPr>
                <w:rFonts w:hint="default" w:ascii="Times New Roman" w:hAnsi="Times New Roman" w:eastAsia="仿宋_GB2312" w:cs="Times New Roman"/>
                <w:i w:val="0"/>
                <w:iCs w:val="0"/>
                <w:color w:val="000000"/>
                <w:kern w:val="0"/>
                <w:sz w:val="21"/>
                <w:szCs w:val="21"/>
                <w:u w:val="none"/>
                <w:lang w:val="en-US" w:eastAsia="zh-CN" w:bidi="ar"/>
              </w:rPr>
              <w:t>产出成本</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C41</w:t>
            </w:r>
            <w:r>
              <w:rPr>
                <w:rFonts w:hint="default" w:ascii="Times New Roman" w:hAnsi="Times New Roman" w:eastAsia="仿宋_GB2312" w:cs="Times New Roman"/>
                <w:i w:val="0"/>
                <w:iCs w:val="0"/>
                <w:color w:val="000000"/>
                <w:kern w:val="0"/>
                <w:sz w:val="21"/>
                <w:szCs w:val="21"/>
                <w:u w:val="none"/>
                <w:lang w:val="en-US" w:eastAsia="zh-CN" w:bidi="ar"/>
              </w:rPr>
              <w:t>产出成本合理性</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考察项目实施产生的各方面成本控制情况。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加强成本效益分析。对单位成本无法拆分核算的任务，可设定分项成本控制数。对于具有负外部性的支出项目，还应选取负作用成本指标，体现相关活动对生态环境、社会公众福利等方面可能产生的负面影响。</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有相应的成本控制措施，进行了成本效益分析，得满分，反之，不得分。</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项目单位提供的资料，社会化养护成本测算清晰，但部分费用存在重复计算的现象且项目单位未结合自主养护的投入与产出，合理分析河渠养护项目的成本效益，避免不必要的财政支出成本节约控制不够有力。依据评分标准，该项指标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w:t>
            </w:r>
            <w:r>
              <w:rPr>
                <w:rFonts w:hint="default" w:ascii="Times New Roman" w:hAnsi="Times New Roman" w:eastAsia="仿宋_GB2312" w:cs="Times New Roman"/>
                <w:i w:val="0"/>
                <w:iCs w:val="0"/>
                <w:color w:val="000000"/>
                <w:kern w:val="0"/>
                <w:sz w:val="21"/>
                <w:szCs w:val="21"/>
                <w:u w:val="none"/>
                <w:lang w:val="en-US" w:eastAsia="zh-CN" w:bidi="ar"/>
              </w:rPr>
              <w:t>效益</w:t>
            </w: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D1</w:t>
            </w:r>
            <w:r>
              <w:rPr>
                <w:rFonts w:hint="default" w:ascii="Times New Roman" w:hAnsi="Times New Roman" w:eastAsia="仿宋_GB2312" w:cs="Times New Roman"/>
                <w:i w:val="0"/>
                <w:iCs w:val="0"/>
                <w:color w:val="000000"/>
                <w:kern w:val="0"/>
                <w:sz w:val="21"/>
                <w:szCs w:val="21"/>
                <w:u w:val="none"/>
                <w:lang w:val="en-US" w:eastAsia="zh-CN" w:bidi="ar"/>
              </w:rPr>
              <w:t>项目效益</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D11</w:t>
            </w:r>
            <w:r>
              <w:rPr>
                <w:rFonts w:hint="default" w:ascii="Times New Roman" w:hAnsi="Times New Roman" w:eastAsia="仿宋_GB2312" w:cs="Times New Roman"/>
                <w:i w:val="0"/>
                <w:iCs w:val="0"/>
                <w:color w:val="000000"/>
                <w:kern w:val="0"/>
                <w:sz w:val="21"/>
                <w:szCs w:val="21"/>
                <w:u w:val="none"/>
                <w:lang w:val="en-US" w:eastAsia="zh-CN" w:bidi="ar"/>
              </w:rPr>
              <w:t>卫生环境整洁度提升情况</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考察卫生环境整洁度提升情况。</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通过问卷考察卫生环境整洁度提升情况。</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95%</w:t>
            </w:r>
            <w:r>
              <w:rPr>
                <w:rFonts w:hint="default" w:ascii="Times New Roman" w:hAnsi="Times New Roman" w:eastAsia="仿宋_GB2312" w:cs="Times New Roman"/>
                <w:i w:val="0"/>
                <w:iCs w:val="0"/>
                <w:color w:val="000000"/>
                <w:kern w:val="0"/>
                <w:sz w:val="21"/>
                <w:szCs w:val="21"/>
                <w:u w:val="none"/>
                <w:lang w:val="en-US" w:eastAsia="zh-CN" w:bidi="ar"/>
              </w:rPr>
              <w:t>以上受访人员认为卫生环境整洁度提升得满分，每降低</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，扣除权重</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通过对卫河</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个河段及赵定河</w:t>
            </w:r>
            <w:r>
              <w:rPr>
                <w:rFonts w:hint="default" w:ascii="Times New Roman" w:hAnsi="Times New Roman" w:eastAsia="等线" w:cs="Times New Roman"/>
                <w:i w:val="0"/>
                <w:iCs w:val="0"/>
                <w:color w:val="000000"/>
                <w:kern w:val="0"/>
                <w:sz w:val="21"/>
                <w:szCs w:val="21"/>
                <w:u w:val="none"/>
                <w:lang w:val="en-US" w:eastAsia="zh-CN" w:bidi="ar"/>
              </w:rPr>
              <w:t>6</w:t>
            </w:r>
            <w:r>
              <w:rPr>
                <w:rFonts w:hint="default" w:ascii="Times New Roman" w:hAnsi="Times New Roman" w:eastAsia="仿宋_GB2312" w:cs="Times New Roman"/>
                <w:i w:val="0"/>
                <w:iCs w:val="0"/>
                <w:color w:val="000000"/>
                <w:kern w:val="0"/>
                <w:sz w:val="21"/>
                <w:szCs w:val="21"/>
                <w:u w:val="none"/>
                <w:lang w:val="en-US" w:eastAsia="zh-CN" w:bidi="ar"/>
              </w:rPr>
              <w:t>个河段进行社会化养护，多数人认为沿河两岸及河面的卫生环境整洁程度明显提升，但仍部分人反映有清洁不到位的情况出现。依据评分标准，该项指标得</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D12</w:t>
            </w:r>
            <w:r>
              <w:rPr>
                <w:rFonts w:hint="default" w:ascii="Times New Roman" w:hAnsi="Times New Roman" w:eastAsia="仿宋_GB2312" w:cs="Times New Roman"/>
                <w:i w:val="0"/>
                <w:iCs w:val="0"/>
                <w:color w:val="000000"/>
                <w:kern w:val="0"/>
                <w:sz w:val="21"/>
                <w:szCs w:val="21"/>
                <w:u w:val="none"/>
                <w:lang w:val="en-US" w:eastAsia="zh-CN" w:bidi="ar"/>
              </w:rPr>
              <w:t>提高沿岸植被保护能力</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指标考察通过项目实施，提高了沿岸植被存活率。</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沿岸植被存活率较高</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沿岸植被存活率</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得满分，每发现一处枯死情况，扣权重分值的</w:t>
            </w:r>
            <w:r>
              <w:rPr>
                <w:rFonts w:hint="default" w:ascii="Times New Roman" w:hAnsi="Times New Roman" w:eastAsia="等线" w:cs="Times New Roman"/>
                <w:i w:val="0"/>
                <w:iCs w:val="0"/>
                <w:color w:val="000000"/>
                <w:kern w:val="0"/>
                <w:sz w:val="21"/>
                <w:szCs w:val="21"/>
                <w:u w:val="none"/>
                <w:lang w:val="en-US" w:eastAsia="zh-CN" w:bidi="ar"/>
              </w:rPr>
              <w:t>2%</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养护单位按照合同约定对所负责区域内的绿化内容进行修剪、浇水、除草、松土、覆土，沿河两岸的植被存活率较高。依据评分标准，该项指标得</w:t>
            </w:r>
            <w:r>
              <w:rPr>
                <w:rFonts w:hint="default" w:ascii="Times New Roman" w:hAnsi="Times New Roman" w:eastAsia="等线" w:cs="Times New Roman"/>
                <w:i w:val="0"/>
                <w:iCs w:val="0"/>
                <w:color w:val="000000"/>
                <w:kern w:val="0"/>
                <w:sz w:val="21"/>
                <w:szCs w:val="21"/>
                <w:u w:val="none"/>
                <w:lang w:val="en-US" w:eastAsia="zh-CN" w:bidi="ar"/>
              </w:rPr>
              <w:t>3</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D13</w:t>
            </w:r>
            <w:r>
              <w:rPr>
                <w:rFonts w:hint="default" w:ascii="Times New Roman" w:hAnsi="Times New Roman" w:eastAsia="仿宋_GB2312" w:cs="Times New Roman"/>
                <w:i w:val="0"/>
                <w:iCs w:val="0"/>
                <w:color w:val="000000"/>
                <w:kern w:val="0"/>
                <w:sz w:val="21"/>
                <w:szCs w:val="21"/>
                <w:u w:val="none"/>
                <w:lang w:val="en-US" w:eastAsia="zh-CN" w:bidi="ar"/>
              </w:rPr>
              <w:t>溺水等安全事故发生数</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考察是否发生溺水等安全事故。</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安全事故发生数为</w:t>
            </w:r>
            <w:r>
              <w:rPr>
                <w:rFonts w:hint="default" w:ascii="Times New Roman" w:hAnsi="Times New Roman" w:eastAsia="等线" w:cs="Times New Roman"/>
                <w:i w:val="0"/>
                <w:iCs w:val="0"/>
                <w:color w:val="000000"/>
                <w:kern w:val="0"/>
                <w:sz w:val="21"/>
                <w:szCs w:val="21"/>
                <w:u w:val="none"/>
                <w:lang w:val="en-US" w:eastAsia="zh-CN" w:bidi="ar"/>
              </w:rPr>
              <w:t>0</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发生一起安全事故，扣权重分值的</w:t>
            </w:r>
            <w:r>
              <w:rPr>
                <w:rFonts w:hint="default" w:ascii="Times New Roman" w:hAnsi="Times New Roman" w:eastAsia="等线" w:cs="Times New Roman"/>
                <w:i w:val="0"/>
                <w:iCs w:val="0"/>
                <w:color w:val="000000"/>
                <w:kern w:val="0"/>
                <w:sz w:val="21"/>
                <w:szCs w:val="21"/>
                <w:u w:val="none"/>
                <w:lang w:val="en-US" w:eastAsia="zh-CN" w:bidi="ar"/>
              </w:rPr>
              <w:t>100%</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通过访谈及相关报道搜索，</w:t>
            </w:r>
            <w:r>
              <w:rPr>
                <w:rFonts w:hint="default" w:ascii="Times New Roman" w:hAnsi="Times New Roman" w:eastAsia="等线" w:cs="Times New Roman"/>
                <w:i w:val="0"/>
                <w:iCs w:val="0"/>
                <w:color w:val="000000"/>
                <w:kern w:val="0"/>
                <w:sz w:val="21"/>
                <w:szCs w:val="21"/>
                <w:u w:val="none"/>
                <w:lang w:val="en-US" w:eastAsia="zh-CN" w:bidi="ar"/>
              </w:rPr>
              <w:t>2022</w:t>
            </w:r>
            <w:r>
              <w:rPr>
                <w:rFonts w:hint="default" w:ascii="Times New Roman" w:hAnsi="Times New Roman" w:eastAsia="仿宋_GB2312" w:cs="Times New Roman"/>
                <w:i w:val="0"/>
                <w:iCs w:val="0"/>
                <w:color w:val="000000"/>
                <w:kern w:val="0"/>
                <w:sz w:val="21"/>
                <w:szCs w:val="21"/>
                <w:u w:val="none"/>
                <w:lang w:val="en-US" w:eastAsia="zh-CN" w:bidi="ar"/>
              </w:rPr>
              <w:t>年养护河段内未发生溺水等安全事故。依据评分标准，该项指标得</w:t>
            </w:r>
            <w:r>
              <w:rPr>
                <w:rFonts w:hint="default" w:ascii="Times New Roman" w:hAnsi="Times New Roman" w:eastAsia="等线" w:cs="Times New Roman"/>
                <w:i w:val="0"/>
                <w:iCs w:val="0"/>
                <w:color w:val="000000"/>
                <w:kern w:val="0"/>
                <w:sz w:val="21"/>
                <w:szCs w:val="21"/>
                <w:u w:val="none"/>
                <w:lang w:val="en-US" w:eastAsia="zh-CN" w:bidi="ar"/>
              </w:rPr>
              <w:t>4</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D14</w:t>
            </w:r>
            <w:r>
              <w:rPr>
                <w:rFonts w:hint="default" w:ascii="Times New Roman" w:hAnsi="Times New Roman" w:eastAsia="仿宋_GB2312" w:cs="Times New Roman"/>
                <w:i w:val="0"/>
                <w:iCs w:val="0"/>
                <w:color w:val="000000"/>
                <w:kern w:val="0"/>
                <w:sz w:val="21"/>
                <w:szCs w:val="21"/>
                <w:u w:val="none"/>
                <w:lang w:val="en-US" w:eastAsia="zh-CN" w:bidi="ar"/>
              </w:rPr>
              <w:t>有责投诉数</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4</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考察市民是否因河渠保洁情况对其进行投诉。</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市民未对该项目进行投诉。</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每发现一起市民有责投诉，扣权重分的</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3</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经查询及走访，河渠整体养护效果较好但沿河两岸宠物大小便现象严重且清理不及时。依据评分标准，该项指标得3分。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D2</w:t>
            </w:r>
            <w:r>
              <w:rPr>
                <w:rFonts w:hint="default" w:ascii="Times New Roman" w:hAnsi="Times New Roman" w:eastAsia="仿宋_GB2312" w:cs="Times New Roman"/>
                <w:i w:val="0"/>
                <w:iCs w:val="0"/>
                <w:color w:val="000000"/>
                <w:kern w:val="0"/>
                <w:sz w:val="21"/>
                <w:szCs w:val="21"/>
                <w:u w:val="none"/>
                <w:lang w:val="en-US" w:eastAsia="zh-CN" w:bidi="ar"/>
              </w:rPr>
              <w:t>可持续影响</w:t>
            </w:r>
          </w:p>
        </w:tc>
        <w:tc>
          <w:tcPr>
            <w:tcW w:w="440"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D21</w:t>
            </w:r>
            <w:r>
              <w:rPr>
                <w:rFonts w:hint="default" w:ascii="Times New Roman" w:hAnsi="Times New Roman" w:eastAsia="仿宋_GB2312" w:cs="Times New Roman"/>
                <w:i w:val="0"/>
                <w:iCs w:val="0"/>
                <w:color w:val="000000"/>
                <w:kern w:val="0"/>
                <w:sz w:val="21"/>
                <w:szCs w:val="21"/>
                <w:u w:val="none"/>
                <w:lang w:val="en-US" w:eastAsia="zh-CN" w:bidi="ar"/>
              </w:rPr>
              <w:t>河渠养护机制健全性</w:t>
            </w:r>
          </w:p>
        </w:tc>
        <w:tc>
          <w:tcPr>
            <w:tcW w:w="492" w:type="pct"/>
            <w:vMerge w:val="restar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60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考察河渠养护机制完善情况</w:t>
            </w:r>
          </w:p>
        </w:tc>
        <w:tc>
          <w:tcPr>
            <w:tcW w:w="718"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宋体" w:cs="Times New Roman"/>
                <w:i w:val="0"/>
                <w:iCs w:val="0"/>
                <w:color w:val="000000"/>
                <w:kern w:val="0"/>
                <w:sz w:val="21"/>
                <w:szCs w:val="21"/>
                <w:u w:val="none"/>
                <w:lang w:val="en-US" w:eastAsia="zh-CN" w:bidi="ar"/>
              </w:rPr>
              <w:t>①</w:t>
            </w:r>
            <w:r>
              <w:rPr>
                <w:rFonts w:hint="default" w:ascii="Times New Roman" w:hAnsi="Times New Roman" w:eastAsia="仿宋_GB2312" w:cs="Times New Roman"/>
                <w:i w:val="0"/>
                <w:iCs w:val="0"/>
                <w:color w:val="000000"/>
                <w:kern w:val="0"/>
                <w:sz w:val="21"/>
                <w:szCs w:val="21"/>
                <w:u w:val="none"/>
                <w:lang w:val="en-US" w:eastAsia="zh-CN" w:bidi="ar"/>
              </w:rPr>
              <w:t>项目单位制定有河渠养护规划及目标；</w:t>
            </w:r>
            <w:r>
              <w:rPr>
                <w:rFonts w:hint="default" w:ascii="Times New Roman" w:hAnsi="Times New Roman" w:eastAsia="宋体" w:cs="Times New Roman"/>
                <w:i w:val="0"/>
                <w:iCs w:val="0"/>
                <w:color w:val="000000"/>
                <w:kern w:val="0"/>
                <w:sz w:val="21"/>
                <w:szCs w:val="21"/>
                <w:u w:val="none"/>
                <w:lang w:val="en-US" w:eastAsia="zh-CN" w:bidi="ar"/>
              </w:rPr>
              <w:t>②</w:t>
            </w:r>
            <w:r>
              <w:rPr>
                <w:rFonts w:hint="default" w:ascii="Times New Roman" w:hAnsi="Times New Roman" w:eastAsia="仿宋_GB2312" w:cs="Times New Roman"/>
                <w:i w:val="0"/>
                <w:iCs w:val="0"/>
                <w:color w:val="000000"/>
                <w:kern w:val="0"/>
                <w:sz w:val="21"/>
                <w:szCs w:val="21"/>
                <w:u w:val="none"/>
                <w:lang w:val="en-US" w:eastAsia="zh-CN" w:bidi="ar"/>
              </w:rPr>
              <w:t>规划完整、目标明确且可执行；</w:t>
            </w:r>
            <w:r>
              <w:rPr>
                <w:rFonts w:hint="default" w:ascii="Times New Roman" w:hAnsi="Times New Roman" w:eastAsia="宋体" w:cs="Times New Roman"/>
                <w:i w:val="0"/>
                <w:iCs w:val="0"/>
                <w:color w:val="000000"/>
                <w:kern w:val="0"/>
                <w:sz w:val="21"/>
                <w:szCs w:val="21"/>
                <w:u w:val="none"/>
                <w:lang w:val="en-US" w:eastAsia="zh-CN" w:bidi="ar"/>
              </w:rPr>
              <w:t>③</w:t>
            </w:r>
            <w:r>
              <w:rPr>
                <w:rFonts w:hint="default" w:ascii="Times New Roman" w:hAnsi="Times New Roman" w:eastAsia="仿宋_GB2312" w:cs="Times New Roman"/>
                <w:i w:val="0"/>
                <w:iCs w:val="0"/>
                <w:color w:val="000000"/>
                <w:kern w:val="0"/>
                <w:sz w:val="21"/>
                <w:szCs w:val="21"/>
                <w:u w:val="none"/>
                <w:lang w:val="en-US" w:eastAsia="zh-CN" w:bidi="ar"/>
              </w:rPr>
              <w:t>按规划执行。</w:t>
            </w:r>
          </w:p>
        </w:tc>
        <w:tc>
          <w:tcPr>
            <w:tcW w:w="487"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两项都符合得</w:t>
            </w:r>
            <w:r>
              <w:rPr>
                <w:rFonts w:hint="default" w:ascii="Times New Roman" w:hAnsi="Times New Roman" w:eastAsia="等线" w:cs="Times New Roman"/>
                <w:i w:val="0"/>
                <w:iCs w:val="0"/>
                <w:color w:val="000000"/>
                <w:kern w:val="0"/>
                <w:sz w:val="21"/>
                <w:szCs w:val="21"/>
                <w:u w:val="none"/>
                <w:lang w:val="en-US" w:eastAsia="zh-CN" w:bidi="ar"/>
              </w:rPr>
              <w:t>100%</w:t>
            </w:r>
            <w:r>
              <w:rPr>
                <w:rFonts w:hint="default" w:ascii="Times New Roman" w:hAnsi="Times New Roman" w:eastAsia="仿宋_GB2312" w:cs="Times New Roman"/>
                <w:i w:val="0"/>
                <w:iCs w:val="0"/>
                <w:color w:val="000000"/>
                <w:kern w:val="0"/>
                <w:sz w:val="21"/>
                <w:szCs w:val="21"/>
                <w:u w:val="none"/>
                <w:lang w:val="en-US" w:eastAsia="zh-CN" w:bidi="ar"/>
              </w:rPr>
              <w:t>权重分；有一项不符合扣权重分的</w:t>
            </w:r>
            <w:r>
              <w:rPr>
                <w:rFonts w:hint="default" w:ascii="Times New Roman" w:hAnsi="Times New Roman" w:eastAsia="等线" w:cs="Times New Roman"/>
                <w:i w:val="0"/>
                <w:iCs w:val="0"/>
                <w:color w:val="000000"/>
                <w:kern w:val="0"/>
                <w:sz w:val="21"/>
                <w:szCs w:val="21"/>
                <w:u w:val="none"/>
                <w:lang w:val="en-US" w:eastAsia="zh-CN" w:bidi="ar"/>
              </w:rPr>
              <w:t>50%</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vMerge w:val="restar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5</w:t>
            </w:r>
          </w:p>
        </w:tc>
        <w:tc>
          <w:tcPr>
            <w:tcW w:w="869"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项目单位制定有河渠养护规划及目标，但规划内容过于简单，对优化养护模式、养护质量提升、成本控制等方面均未明确，未建立相关部门的有效沟通机制。依据评分标准，该项指标得5分。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vMerge w:val="continue"/>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60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7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43"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86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vMerge w:val="continue"/>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60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7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43"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86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vMerge w:val="continue"/>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60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7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43"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86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vMerge w:val="continue"/>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60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718"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87"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43" w:type="pct"/>
            <w:vMerge w:val="continue"/>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86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D3</w:t>
            </w:r>
            <w:r>
              <w:rPr>
                <w:rFonts w:hint="default" w:ascii="Times New Roman" w:hAnsi="Times New Roman" w:eastAsia="仿宋_GB2312" w:cs="Times New Roman"/>
                <w:i w:val="0"/>
                <w:iCs w:val="0"/>
                <w:color w:val="000000"/>
                <w:kern w:val="0"/>
                <w:sz w:val="21"/>
                <w:szCs w:val="21"/>
                <w:u w:val="none"/>
                <w:lang w:val="en-US" w:eastAsia="zh-CN" w:bidi="ar"/>
              </w:rPr>
              <w:t>满意度</w:t>
            </w: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D31</w:t>
            </w:r>
            <w:r>
              <w:rPr>
                <w:rFonts w:hint="default" w:ascii="Times New Roman" w:hAnsi="Times New Roman" w:eastAsia="仿宋_GB2312" w:cs="Times New Roman"/>
                <w:i w:val="0"/>
                <w:iCs w:val="0"/>
                <w:color w:val="000000"/>
                <w:kern w:val="0"/>
                <w:sz w:val="21"/>
                <w:szCs w:val="21"/>
                <w:u w:val="none"/>
                <w:lang w:val="en-US" w:eastAsia="zh-CN" w:bidi="ar"/>
              </w:rPr>
              <w:t>市民满意度</w:t>
            </w:r>
          </w:p>
        </w:tc>
        <w:tc>
          <w:tcPr>
            <w:tcW w:w="492" w:type="pct"/>
            <w:shd w:val="clear" w:color="auto" w:fill="auto"/>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考察市民对河渠环境提升情况的满意度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满意度一般采取社会调查的方式，满意度应达到</w:t>
            </w:r>
            <w:r>
              <w:rPr>
                <w:rFonts w:hint="default" w:ascii="Times New Roman" w:hAnsi="Times New Roman" w:eastAsia="等线" w:cs="Times New Roman"/>
                <w:i w:val="0"/>
                <w:iCs w:val="0"/>
                <w:color w:val="000000"/>
                <w:kern w:val="0"/>
                <w:sz w:val="21"/>
                <w:szCs w:val="21"/>
                <w:u w:val="none"/>
                <w:lang w:val="en-US" w:eastAsia="zh-CN" w:bidi="ar"/>
              </w:rPr>
              <w:t>90%</w:t>
            </w:r>
            <w:r>
              <w:rPr>
                <w:rFonts w:hint="default" w:ascii="Times New Roman" w:hAnsi="Times New Roman" w:eastAsia="仿宋_GB2312" w:cs="Times New Roman"/>
                <w:i w:val="0"/>
                <w:iCs w:val="0"/>
                <w:color w:val="000000"/>
                <w:kern w:val="0"/>
                <w:sz w:val="21"/>
                <w:szCs w:val="21"/>
                <w:u w:val="none"/>
                <w:lang w:val="en-US" w:eastAsia="zh-CN" w:bidi="ar"/>
              </w:rPr>
              <w:t>以上。</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满意度</w:t>
            </w:r>
            <w:r>
              <w:rPr>
                <w:rFonts w:hint="default" w:ascii="Times New Roman" w:hAnsi="Times New Roman" w:eastAsia="等线" w:cs="Times New Roman"/>
                <w:i w:val="0"/>
                <w:iCs w:val="0"/>
                <w:color w:val="000000"/>
                <w:kern w:val="0"/>
                <w:sz w:val="21"/>
                <w:szCs w:val="21"/>
                <w:u w:val="none"/>
                <w:lang w:val="en-US" w:eastAsia="zh-CN" w:bidi="ar"/>
              </w:rPr>
              <w:t>≥90%</w:t>
            </w:r>
            <w:r>
              <w:rPr>
                <w:rFonts w:hint="default" w:ascii="Times New Roman" w:hAnsi="Times New Roman" w:eastAsia="仿宋_GB2312" w:cs="Times New Roman"/>
                <w:i w:val="0"/>
                <w:iCs w:val="0"/>
                <w:color w:val="000000"/>
                <w:kern w:val="0"/>
                <w:sz w:val="21"/>
                <w:szCs w:val="21"/>
                <w:u w:val="none"/>
                <w:lang w:val="en-US" w:eastAsia="zh-CN" w:bidi="ar"/>
              </w:rPr>
              <w:t>，得满分；每下降</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，扣权重分值的</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3.75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根据问卷调查，市民对河渠养护的满意度为</w:t>
            </w:r>
            <w:r>
              <w:rPr>
                <w:rFonts w:hint="default" w:ascii="Times New Roman" w:hAnsi="Times New Roman" w:eastAsia="等线" w:cs="Times New Roman"/>
                <w:i w:val="0"/>
                <w:iCs w:val="0"/>
                <w:color w:val="000000"/>
                <w:kern w:val="0"/>
                <w:sz w:val="21"/>
                <w:szCs w:val="21"/>
                <w:u w:val="none"/>
                <w:lang w:val="en-US" w:eastAsia="zh-CN" w:bidi="ar"/>
              </w:rPr>
              <w:t>85%</w:t>
            </w:r>
            <w:r>
              <w:rPr>
                <w:rFonts w:hint="default" w:ascii="Times New Roman" w:hAnsi="Times New Roman" w:eastAsia="仿宋_GB2312" w:cs="Times New Roman"/>
                <w:i w:val="0"/>
                <w:iCs w:val="0"/>
                <w:color w:val="000000"/>
                <w:kern w:val="0"/>
                <w:sz w:val="21"/>
                <w:szCs w:val="21"/>
                <w:u w:val="none"/>
                <w:lang w:val="en-US" w:eastAsia="zh-CN" w:bidi="ar"/>
              </w:rPr>
              <w:t>，依据评分标准，该项指标得</w:t>
            </w:r>
            <w:r>
              <w:rPr>
                <w:rFonts w:hint="default" w:ascii="Times New Roman" w:hAnsi="Times New Roman" w:eastAsia="等线" w:cs="Times New Roman"/>
                <w:i w:val="0"/>
                <w:iCs w:val="0"/>
                <w:color w:val="000000"/>
                <w:kern w:val="0"/>
                <w:sz w:val="21"/>
                <w:szCs w:val="21"/>
                <w:u w:val="none"/>
                <w:lang w:val="en-US" w:eastAsia="zh-CN" w:bidi="ar"/>
              </w:rPr>
              <w:t>3.75</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 w:hRule="atLeast"/>
        </w:trPr>
        <w:tc>
          <w:tcPr>
            <w:tcW w:w="289"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5" w:type="pct"/>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D32</w:t>
            </w:r>
            <w:r>
              <w:rPr>
                <w:rFonts w:hint="default" w:ascii="Times New Roman" w:hAnsi="Times New Roman" w:eastAsia="仿宋_GB2312" w:cs="Times New Roman"/>
                <w:i w:val="0"/>
                <w:iCs w:val="0"/>
                <w:color w:val="000000"/>
                <w:kern w:val="0"/>
                <w:sz w:val="21"/>
                <w:szCs w:val="21"/>
                <w:u w:val="none"/>
                <w:lang w:val="en-US" w:eastAsia="zh-CN" w:bidi="ar"/>
              </w:rPr>
              <w:t>购买方满意度</w:t>
            </w:r>
          </w:p>
        </w:tc>
        <w:tc>
          <w:tcPr>
            <w:tcW w:w="492"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05"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考察购买方对河渠养护项目的满意度</w:t>
            </w:r>
          </w:p>
        </w:tc>
        <w:tc>
          <w:tcPr>
            <w:tcW w:w="718"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满意度一般采取社会调查的方式，满意度应达到</w:t>
            </w:r>
            <w:r>
              <w:rPr>
                <w:rFonts w:hint="default" w:ascii="Times New Roman" w:hAnsi="Times New Roman" w:eastAsia="等线" w:cs="Times New Roman"/>
                <w:i w:val="0"/>
                <w:iCs w:val="0"/>
                <w:color w:val="000000"/>
                <w:kern w:val="0"/>
                <w:sz w:val="21"/>
                <w:szCs w:val="21"/>
                <w:u w:val="none"/>
                <w:lang w:val="en-US" w:eastAsia="zh-CN" w:bidi="ar"/>
              </w:rPr>
              <w:t>90%</w:t>
            </w:r>
            <w:r>
              <w:rPr>
                <w:rFonts w:hint="default" w:ascii="Times New Roman" w:hAnsi="Times New Roman" w:eastAsia="仿宋_GB2312" w:cs="Times New Roman"/>
                <w:i w:val="0"/>
                <w:iCs w:val="0"/>
                <w:color w:val="000000"/>
                <w:kern w:val="0"/>
                <w:sz w:val="21"/>
                <w:szCs w:val="21"/>
                <w:u w:val="none"/>
                <w:lang w:val="en-US" w:eastAsia="zh-CN" w:bidi="ar"/>
              </w:rPr>
              <w:t>以上。</w:t>
            </w:r>
          </w:p>
        </w:tc>
        <w:tc>
          <w:tcPr>
            <w:tcW w:w="487"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满意度</w:t>
            </w:r>
            <w:r>
              <w:rPr>
                <w:rFonts w:hint="default" w:ascii="Times New Roman" w:hAnsi="Times New Roman" w:eastAsia="等线" w:cs="Times New Roman"/>
                <w:i w:val="0"/>
                <w:iCs w:val="0"/>
                <w:color w:val="000000"/>
                <w:kern w:val="0"/>
                <w:sz w:val="21"/>
                <w:szCs w:val="21"/>
                <w:u w:val="none"/>
                <w:lang w:val="en-US" w:eastAsia="zh-CN" w:bidi="ar"/>
              </w:rPr>
              <w:t>≥90%</w:t>
            </w:r>
            <w:r>
              <w:rPr>
                <w:rFonts w:hint="default" w:ascii="Times New Roman" w:hAnsi="Times New Roman" w:eastAsia="仿宋_GB2312" w:cs="Times New Roman"/>
                <w:i w:val="0"/>
                <w:iCs w:val="0"/>
                <w:color w:val="000000"/>
                <w:kern w:val="0"/>
                <w:sz w:val="21"/>
                <w:szCs w:val="21"/>
                <w:u w:val="none"/>
                <w:lang w:val="en-US" w:eastAsia="zh-CN" w:bidi="ar"/>
              </w:rPr>
              <w:t>，得满分；每下降</w:t>
            </w:r>
            <w:r>
              <w:rPr>
                <w:rFonts w:hint="default" w:ascii="Times New Roman" w:hAnsi="Times New Roman" w:eastAsia="等线" w:cs="Times New Roman"/>
                <w:i w:val="0"/>
                <w:iCs w:val="0"/>
                <w:color w:val="000000"/>
                <w:kern w:val="0"/>
                <w:sz w:val="21"/>
                <w:szCs w:val="21"/>
                <w:u w:val="none"/>
                <w:lang w:val="en-US" w:eastAsia="zh-CN" w:bidi="ar"/>
              </w:rPr>
              <w:t>1%</w:t>
            </w:r>
            <w:r>
              <w:rPr>
                <w:rFonts w:hint="default" w:ascii="Times New Roman" w:hAnsi="Times New Roman" w:eastAsia="仿宋_GB2312" w:cs="Times New Roman"/>
                <w:i w:val="0"/>
                <w:iCs w:val="0"/>
                <w:color w:val="000000"/>
                <w:kern w:val="0"/>
                <w:sz w:val="21"/>
                <w:szCs w:val="21"/>
                <w:u w:val="none"/>
                <w:lang w:val="en-US" w:eastAsia="zh-CN" w:bidi="ar"/>
              </w:rPr>
              <w:t>，扣权重分值的</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；扣完为止。</w:t>
            </w: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86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依据问卷调查项目单位对本项目的满意度在</w:t>
            </w:r>
            <w:r>
              <w:rPr>
                <w:rFonts w:hint="default" w:ascii="Times New Roman" w:hAnsi="Times New Roman" w:eastAsia="等线" w:cs="Times New Roman"/>
                <w:i w:val="0"/>
                <w:iCs w:val="0"/>
                <w:color w:val="000000"/>
                <w:kern w:val="0"/>
                <w:sz w:val="21"/>
                <w:szCs w:val="21"/>
                <w:u w:val="none"/>
                <w:lang w:val="en-US" w:eastAsia="zh-CN" w:bidi="ar"/>
              </w:rPr>
              <w:t>90%</w:t>
            </w:r>
            <w:r>
              <w:rPr>
                <w:rFonts w:hint="default" w:ascii="Times New Roman" w:hAnsi="Times New Roman" w:eastAsia="仿宋_GB2312" w:cs="Times New Roman"/>
                <w:i w:val="0"/>
                <w:iCs w:val="0"/>
                <w:color w:val="000000"/>
                <w:kern w:val="0"/>
                <w:sz w:val="21"/>
                <w:szCs w:val="21"/>
                <w:u w:val="none"/>
                <w:lang w:val="en-US" w:eastAsia="zh-CN" w:bidi="ar"/>
              </w:rPr>
              <w:t>以上。依据评分标准该项指标得</w:t>
            </w:r>
            <w:r>
              <w:rPr>
                <w:rFonts w:hint="default" w:ascii="Times New Roman" w:hAnsi="Times New Roman" w:eastAsia="等线" w:cs="Times New Roman"/>
                <w:i w:val="0"/>
                <w:iCs w:val="0"/>
                <w:color w:val="000000"/>
                <w:kern w:val="0"/>
                <w:sz w:val="21"/>
                <w:szCs w:val="21"/>
                <w:u w:val="none"/>
                <w:lang w:val="en-US" w:eastAsia="zh-CN" w:bidi="ar"/>
              </w:rPr>
              <w:t>5</w:t>
            </w:r>
            <w:r>
              <w:rPr>
                <w:rFonts w:hint="default" w:ascii="Times New Roman" w:hAnsi="Times New Roman" w:eastAsia="仿宋_GB2312" w:cs="Times New Roman"/>
                <w:i w:val="0"/>
                <w:iCs w:val="0"/>
                <w:color w:val="000000"/>
                <w:kern w:val="0"/>
                <w:sz w:val="21"/>
                <w:szCs w:val="21"/>
                <w:u w:val="none"/>
                <w:lang w:val="en-US" w:eastAsia="zh-CN"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289" w:type="pc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仿宋_GB2312" w:cs="Times New Roman"/>
                <w:i w:val="0"/>
                <w:iCs w:val="0"/>
                <w:color w:val="000000"/>
                <w:kern w:val="0"/>
                <w:sz w:val="21"/>
                <w:szCs w:val="21"/>
                <w:u w:val="none"/>
                <w:lang w:val="en-US" w:eastAsia="zh-CN" w:bidi="ar"/>
              </w:rPr>
              <w:t>合计</w:t>
            </w:r>
          </w:p>
        </w:tc>
        <w:tc>
          <w:tcPr>
            <w:tcW w:w="445"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40"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92"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07"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rPr>
            </w:pPr>
            <w:r>
              <w:rPr>
                <w:rFonts w:hint="default" w:ascii="Times New Roman" w:hAnsi="Times New Roman" w:eastAsia="等线" w:cs="Times New Roman"/>
                <w:i w:val="0"/>
                <w:iCs w:val="0"/>
                <w:color w:val="000000"/>
                <w:kern w:val="0"/>
                <w:sz w:val="21"/>
                <w:szCs w:val="21"/>
                <w:u w:val="none"/>
                <w:lang w:val="en-US" w:eastAsia="zh-CN" w:bidi="ar"/>
              </w:rPr>
              <w:t>100</w:t>
            </w:r>
          </w:p>
        </w:tc>
        <w:tc>
          <w:tcPr>
            <w:tcW w:w="605"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718"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487"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1"/>
                <w:szCs w:val="21"/>
                <w:u w:val="none"/>
              </w:rPr>
            </w:pPr>
          </w:p>
        </w:tc>
        <w:tc>
          <w:tcPr>
            <w:tcW w:w="343" w:type="pct"/>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auto"/>
              <w:ind w:firstLine="0" w:firstLineChars="0"/>
              <w:jc w:val="center"/>
              <w:textAlignment w:val="center"/>
              <w:rPr>
                <w:rFonts w:hint="default" w:ascii="Times New Roman" w:hAnsi="Times New Roman" w:eastAsia="等线" w:cs="Times New Roman"/>
                <w:i w:val="0"/>
                <w:iCs w:val="0"/>
                <w:color w:val="000000"/>
                <w:sz w:val="21"/>
                <w:szCs w:val="21"/>
                <w:u w:val="none"/>
                <w:lang w:val="en-US" w:eastAsia="zh-CN"/>
              </w:rPr>
            </w:pPr>
            <w:r>
              <w:rPr>
                <w:rFonts w:hint="default" w:ascii="Times New Roman" w:hAnsi="Times New Roman" w:eastAsia="等线" w:cs="Times New Roman"/>
                <w:i w:val="0"/>
                <w:iCs w:val="0"/>
                <w:color w:val="000000"/>
                <w:sz w:val="21"/>
                <w:szCs w:val="21"/>
                <w:u w:val="none"/>
                <w:lang w:val="en-US" w:eastAsia="zh-CN"/>
              </w:rPr>
              <w:t>85.25</w:t>
            </w:r>
          </w:p>
        </w:tc>
        <w:tc>
          <w:tcPr>
            <w:tcW w:w="869" w:type="pct"/>
            <w:shd w:val="clear" w:color="auto" w:fill="auto"/>
            <w:noWrap/>
            <w:vAlign w:val="bottom"/>
          </w:tcPr>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等线" w:cs="Times New Roman"/>
                <w:i w:val="0"/>
                <w:iCs w:val="0"/>
                <w:color w:val="000000"/>
                <w:sz w:val="22"/>
                <w:szCs w:val="22"/>
                <w:u w:val="none"/>
              </w:rPr>
            </w:pPr>
          </w:p>
        </w:tc>
      </w:tr>
    </w:tbl>
    <w:p>
      <w:pPr>
        <w:tabs>
          <w:tab w:val="left" w:pos="1052"/>
        </w:tabs>
        <w:ind w:firstLine="640"/>
        <w:jc w:val="left"/>
        <w:rPr>
          <w:rFonts w:hint="default" w:ascii="Times New Roman" w:hAnsi="Times New Roman" w:cs="Times New Roman"/>
        </w:rPr>
      </w:pPr>
    </w:p>
    <w:p>
      <w:pPr>
        <w:tabs>
          <w:tab w:val="left" w:pos="1052"/>
        </w:tabs>
        <w:ind w:firstLine="640"/>
        <w:jc w:val="left"/>
        <w:rPr>
          <w:rFonts w:hint="default" w:ascii="Times New Roman" w:hAnsi="Times New Roman" w:cs="Times New Roman"/>
        </w:rPr>
        <w:sectPr>
          <w:pgSz w:w="16838" w:h="11906" w:orient="landscape"/>
          <w:pgMar w:top="1800" w:right="1440" w:bottom="1800" w:left="1440" w:header="851" w:footer="1417" w:gutter="0"/>
          <w:pgNumType w:fmt="decimal"/>
          <w:cols w:space="720" w:num="1"/>
          <w:docGrid w:linePitch="312" w:charSpace="0"/>
        </w:sectPr>
      </w:pPr>
    </w:p>
    <w:bookmarkEnd w:id="94"/>
    <w:bookmarkEnd w:id="95"/>
    <w:p>
      <w:pPr>
        <w:pStyle w:val="3"/>
        <w:ind w:firstLine="640"/>
        <w:rPr>
          <w:rFonts w:hint="default" w:ascii="Times New Roman" w:hAnsi="Times New Roman" w:eastAsia="黑体" w:cs="Times New Roman"/>
          <w:lang w:eastAsia="zh-CN"/>
        </w:rPr>
      </w:pPr>
      <w:bookmarkStart w:id="114" w:name="_Toc9344467"/>
      <w:bookmarkStart w:id="115" w:name="_Toc20262"/>
      <w:bookmarkStart w:id="116" w:name="_Toc91522507"/>
      <w:r>
        <w:rPr>
          <w:rFonts w:hint="default" w:ascii="Times New Roman" w:hAnsi="Times New Roman" w:cs="Times New Roman"/>
        </w:rPr>
        <w:t xml:space="preserve">附件2 </w:t>
      </w:r>
      <w:bookmarkEnd w:id="114"/>
      <w:bookmarkEnd w:id="115"/>
      <w:bookmarkEnd w:id="116"/>
      <w:r>
        <w:rPr>
          <w:rFonts w:hint="default" w:ascii="Times New Roman" w:hAnsi="Times New Roman" w:cs="Times New Roman"/>
          <w:lang w:val="en-US" w:eastAsia="zh-CN"/>
        </w:rPr>
        <w:t>基础表</w:t>
      </w:r>
    </w:p>
    <w:p>
      <w:pPr>
        <w:ind w:firstLine="0" w:firstLineChars="0"/>
        <w:jc w:val="center"/>
        <w:rPr>
          <w:rFonts w:hint="default" w:ascii="Times New Roman" w:hAnsi="Times New Roman" w:eastAsia="仿宋_GB2312" w:cs="Times New Roman"/>
          <w:b/>
          <w:bCs/>
          <w:sz w:val="28"/>
          <w:szCs w:val="28"/>
          <w:lang w:val="en-US" w:eastAsia="zh-CN"/>
        </w:rPr>
      </w:pPr>
      <w:bookmarkStart w:id="117" w:name="_Toc9344469"/>
      <w:bookmarkStart w:id="118" w:name="_Toc14435"/>
      <w:bookmarkStart w:id="119" w:name="_Toc6144"/>
      <w:bookmarkStart w:id="120" w:name="_Toc9344470"/>
      <w:r>
        <w:rPr>
          <w:rFonts w:hint="default" w:ascii="Times New Roman" w:hAnsi="Times New Roman" w:cs="Times New Roman"/>
          <w:b/>
          <w:bCs/>
          <w:sz w:val="28"/>
          <w:szCs w:val="28"/>
        </w:rPr>
        <w:t>市区河渠河段社会化养护情况</w:t>
      </w:r>
      <w:r>
        <w:rPr>
          <w:rFonts w:hint="default" w:ascii="Times New Roman" w:hAnsi="Times New Roman" w:cs="Times New Roman"/>
          <w:b/>
          <w:bCs/>
          <w:sz w:val="28"/>
          <w:szCs w:val="28"/>
          <w:lang w:val="en-US" w:eastAsia="zh-CN"/>
        </w:rPr>
        <w:t>表</w:t>
      </w:r>
    </w:p>
    <w:tbl>
      <w:tblPr>
        <w:tblStyle w:val="37"/>
        <w:tblW w:w="579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7"/>
        <w:gridCol w:w="978"/>
        <w:gridCol w:w="2631"/>
        <w:gridCol w:w="811"/>
        <w:gridCol w:w="706"/>
        <w:gridCol w:w="1064"/>
        <w:gridCol w:w="1078"/>
        <w:gridCol w:w="1545"/>
        <w:gridCol w:w="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0" w:hRule="atLeast"/>
          <w:tblHeader/>
          <w:jc w:val="center"/>
        </w:trPr>
        <w:tc>
          <w:tcPr>
            <w:tcW w:w="226"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序号</w:t>
            </w:r>
          </w:p>
        </w:tc>
        <w:tc>
          <w:tcPr>
            <w:tcW w:w="484"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养护公司名称</w:t>
            </w:r>
          </w:p>
        </w:tc>
        <w:tc>
          <w:tcPr>
            <w:tcW w:w="1302"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委托内容</w:t>
            </w:r>
          </w:p>
        </w:tc>
        <w:tc>
          <w:tcPr>
            <w:tcW w:w="401"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河道名称</w:t>
            </w:r>
          </w:p>
        </w:tc>
        <w:tc>
          <w:tcPr>
            <w:tcW w:w="349"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公里</w:t>
            </w:r>
          </w:p>
        </w:tc>
        <w:tc>
          <w:tcPr>
            <w:tcW w:w="527"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养护期限</w:t>
            </w:r>
          </w:p>
        </w:tc>
        <w:tc>
          <w:tcPr>
            <w:tcW w:w="534"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养护单位注册地</w:t>
            </w:r>
          </w:p>
        </w:tc>
        <w:tc>
          <w:tcPr>
            <w:tcW w:w="765"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合同人员配备</w:t>
            </w:r>
          </w:p>
        </w:tc>
        <w:tc>
          <w:tcPr>
            <w:tcW w:w="409" w:type="pct"/>
            <w:tcBorders>
              <w:top w:val="single" w:color="auto" w:sz="4" w:space="0"/>
              <w:left w:val="single" w:color="auto" w:sz="4" w:space="0"/>
              <w:bottom w:val="single" w:color="auto" w:sz="4" w:space="0"/>
              <w:right w:val="single" w:color="auto" w:sz="4" w:space="0"/>
            </w:tcBorders>
            <w:shd w:val="clear" w:color="auto" w:fill="BEBEBE"/>
            <w:vAlign w:val="center"/>
          </w:tcPr>
          <w:p>
            <w:pPr>
              <w:adjustRightInd w:val="0"/>
              <w:snapToGrid w:val="0"/>
              <w:spacing w:line="240" w:lineRule="atLeast"/>
              <w:ind w:firstLine="0" w:firstLineChars="0"/>
              <w:jc w:val="center"/>
              <w:rPr>
                <w:rFonts w:hint="default" w:ascii="Times New Roman" w:hAnsi="Times New Roman" w:cs="Times New Roman"/>
                <w:b/>
                <w:bCs/>
                <w:sz w:val="20"/>
                <w:szCs w:val="20"/>
              </w:rPr>
            </w:pPr>
            <w:r>
              <w:rPr>
                <w:rFonts w:hint="default" w:ascii="Times New Roman" w:hAnsi="Times New Roman" w:cs="Times New Roman"/>
                <w:b/>
                <w:bCs/>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1</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河南龙安园林绿化工程有限公司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东牧村橡胶坝至新中大道橡胶坝段的绿化养护、岸坡保洁、水面保洁、设施设备维护、巡查保护等，岸坡面积15万平方米、水面面积20万平方米，养护期三年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卫河</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4.25</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2021.5.18-2024.5.18</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安阳市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卫生保洁员8人；绿化养护人员20人；设施维修人员4人；其他人员10人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2</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焦作市晓尚园林有限公司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赵定河人渠至劳动街、劳动街至和平大道段的绿化养护、岸坡保洁、水面保洁、设施设备维护、巡查保护等，绿地面积6.44万平方米、水面面积4.51万平方米，养护期三年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赵定河（五孔闸段）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1.825</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2021.10.15-2024.10.15</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焦作市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卫生保洁员2人；绿化养护人员6人；设施维修人员1人；其他人员1人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3</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河南华泰市政园林工程有限公司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赵定河胜利街至劳动街段的绿化养护、岸坡保洁、水面保洁、设施设备维护、巡查保护等，绿地面积6.28万平方米、水面面积5.56万平方米，养护期三年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1.028</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2019.6.12-2022.6.12</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sz w:val="20"/>
                <w:szCs w:val="20"/>
              </w:rPr>
              <w:t>卫生保洁员4人；绿化养护人员5人；设施维修人员2人；其他人员3人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sz w:val="20"/>
                <w:szCs w:val="20"/>
              </w:rPr>
            </w:pPr>
            <w:r>
              <w:rPr>
                <w:rFonts w:hint="default" w:ascii="Times New Roman" w:hAnsi="Times New Roman" w:cs="Times New Roman"/>
                <w:sz w:val="20"/>
                <w:szCs w:val="20"/>
              </w:rPr>
              <w:t>养护期限6月份到期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4</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新乡市园林绿化工程有限公司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老新延路至新中大道段的绿化养护、岸坡保洁、水面保洁、设施设备维护、巡查保护等，绿地面积6.14万平方米、水面面积5.97万平方米，养护期三年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新一街段)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1.342</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2021.12.3-2024.12.3</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新乡市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卫生保洁员3人；绿化养护人员6人；设施维修人员2人；其他人员2人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5</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河南华泰市政园林工程有限公司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南干桥上游200米至人民路段、平原路下游200米至新五街段的绿化养护、岸坡保洁、水面保洁、设施设备维护、巡查保护等，绿地面积3.1万平方米、水面面积3.62万平方米，养护期三年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兰示段)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2021.11.29-2024.11.29</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卫生保洁员3人；绿化养护人员3人；设施维修人员1人；其他人员2人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6</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河南龙安园林绿化工程有限公司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赵定河人民路至平原路段、兰亭花园东至新五街左岸段的绿化养护、岸坡保洁、水面保洁、设施设备维护、巡查保护等，绿地面积1.19万平方米、水面面积1.3万平方米，养护期三年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人民路段)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0.573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2021.10.15-2024.10.15</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安阳市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卫生保洁员1人；绿化养护人员1人；设施维修人员1人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7</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万绿生态园林股份有限公司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平原桥下游200米、新五街</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荣校东路段的绿化养护、岸坡保洁、水面保洁、设施设备维护、巡查保护等，绿地面积3.05万平方米、水面面积2.47万平方米，养护期三年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w:t>
            </w:r>
            <w:r>
              <w:rPr>
                <w:rFonts w:hint="default" w:ascii="Times New Roman" w:hAnsi="Times New Roman" w:cs="Times New Roman"/>
                <w:color w:val="000000"/>
                <w:sz w:val="20"/>
                <w:szCs w:val="20"/>
                <w:lang w:eastAsia="zh-CN" w:bidi="ar"/>
              </w:rPr>
              <w:t>（</w:t>
            </w:r>
            <w:r>
              <w:rPr>
                <w:rFonts w:hint="default" w:ascii="Times New Roman" w:hAnsi="Times New Roman" w:cs="Times New Roman"/>
                <w:color w:val="000000"/>
                <w:sz w:val="20"/>
                <w:szCs w:val="20"/>
                <w:lang w:bidi="ar"/>
              </w:rPr>
              <w:t>新五街段)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0.73</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2021.12.3-2024.12.3</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许昌市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卫生保洁员2人；绿化养护人员4人；设施维修人员1人；其他人员5人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26"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8</w:t>
            </w:r>
          </w:p>
        </w:tc>
        <w:tc>
          <w:tcPr>
            <w:tcW w:w="48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河南木森林园林绿化工程有限公司</w:t>
            </w:r>
          </w:p>
        </w:tc>
        <w:tc>
          <w:tcPr>
            <w:tcW w:w="130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赵定河胜利街至劳动街段的绿化养护、岸坡保洁、水面保洁、设施设备维护、巡查保护等，绿地面积6.28万平方米、水面面积5.56万平方米，养护期三年</w:t>
            </w:r>
          </w:p>
        </w:tc>
        <w:tc>
          <w:tcPr>
            <w:tcW w:w="40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赵定河（胜利街段）</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1.028</w:t>
            </w:r>
          </w:p>
        </w:tc>
        <w:tc>
          <w:tcPr>
            <w:tcW w:w="527"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textAlignment w:val="center"/>
              <w:rPr>
                <w:rFonts w:hint="default" w:ascii="Times New Roman" w:hAnsi="Times New Roman" w:cs="Times New Roman"/>
                <w:color w:val="000000"/>
                <w:sz w:val="20"/>
                <w:szCs w:val="20"/>
                <w:lang w:bidi="ar"/>
              </w:rPr>
            </w:pPr>
            <w:r>
              <w:rPr>
                <w:rFonts w:hint="default" w:ascii="Times New Roman" w:hAnsi="Times New Roman" w:cs="Times New Roman"/>
                <w:color w:val="000000"/>
                <w:sz w:val="20"/>
                <w:szCs w:val="20"/>
                <w:lang w:bidi="ar"/>
              </w:rPr>
              <w:t>2022.8.26-2025.8.26</w:t>
            </w:r>
          </w:p>
        </w:tc>
        <w:tc>
          <w:tcPr>
            <w:tcW w:w="534"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郑州市</w:t>
            </w:r>
          </w:p>
        </w:tc>
        <w:tc>
          <w:tcPr>
            <w:tcW w:w="76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卫生保洁员4人；绿化养护人员5人；设施设备维修人员2人；其他人员3人</w:t>
            </w:r>
          </w:p>
        </w:tc>
        <w:tc>
          <w:tcPr>
            <w:tcW w:w="40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0" w:firstLineChars="0"/>
              <w:jc w:val="center"/>
              <w:rPr>
                <w:rFonts w:hint="default" w:ascii="Times New Roman" w:hAnsi="Times New Roman" w:cs="Times New Roman"/>
                <w:sz w:val="20"/>
                <w:szCs w:val="20"/>
              </w:rPr>
            </w:pPr>
            <w:r>
              <w:rPr>
                <w:rFonts w:hint="default" w:ascii="Times New Roman" w:hAnsi="Times New Roman" w:cs="Times New Roman"/>
                <w:sz w:val="20"/>
                <w:szCs w:val="20"/>
              </w:rPr>
              <w:t>赵定河胜利街段新中标单位</w:t>
            </w:r>
          </w:p>
        </w:tc>
      </w:tr>
    </w:tbl>
    <w:p>
      <w:pPr>
        <w:ind w:firstLine="640"/>
        <w:rPr>
          <w:rFonts w:hint="default" w:ascii="Times New Roman" w:hAnsi="Times New Roman" w:eastAsia="等线" w:cs="Times New Roman"/>
        </w:rPr>
        <w:sectPr>
          <w:headerReference r:id="rId19" w:type="default"/>
          <w:footerReference r:id="rId20" w:type="default"/>
          <w:footnotePr>
            <w:numRestart w:val="eachPage"/>
          </w:footnotePr>
          <w:pgSz w:w="11906" w:h="16838"/>
          <w:pgMar w:top="1304" w:right="1702" w:bottom="1304" w:left="1702" w:header="850" w:footer="992" w:gutter="0"/>
          <w:pgNumType w:fmt="decimal"/>
          <w:cols w:space="720" w:num="1"/>
          <w:docGrid w:linePitch="435" w:charSpace="0"/>
        </w:sectPr>
      </w:pPr>
    </w:p>
    <w:p>
      <w:pPr>
        <w:pStyle w:val="3"/>
        <w:ind w:firstLine="640"/>
        <w:jc w:val="both"/>
        <w:rPr>
          <w:rFonts w:hint="default" w:ascii="Times New Roman" w:hAnsi="Times New Roman" w:cs="Times New Roman"/>
        </w:rPr>
      </w:pPr>
      <w:bookmarkStart w:id="121" w:name="_Toc91522508"/>
      <w:r>
        <w:rPr>
          <w:rFonts w:hint="default" w:ascii="Times New Roman" w:hAnsi="Times New Roman" w:cs="Times New Roman"/>
        </w:rPr>
        <w:t>附件3 访谈提纲</w:t>
      </w:r>
      <w:bookmarkEnd w:id="117"/>
      <w:bookmarkEnd w:id="118"/>
      <w:bookmarkEnd w:id="121"/>
    </w:p>
    <w:p>
      <w:pPr>
        <w:spacing w:line="520" w:lineRule="exact"/>
        <w:ind w:firstLine="0" w:firstLineChars="0"/>
        <w:rPr>
          <w:rFonts w:hint="default" w:ascii="Times New Roman" w:hAnsi="Times New Roman" w:cs="Times New Roman"/>
          <w:bCs/>
          <w:szCs w:val="28"/>
          <w:u w:val="single"/>
        </w:rPr>
      </w:pPr>
    </w:p>
    <w:p>
      <w:pPr>
        <w:ind w:firstLine="0" w:firstLineChars="0"/>
        <w:jc w:val="center"/>
        <w:rPr>
          <w:rFonts w:hint="default" w:ascii="Times New Roman" w:hAnsi="Times New Roman" w:eastAsia="方正小标宋简体" w:cs="Times New Roman"/>
          <w:szCs w:val="32"/>
        </w:rPr>
      </w:pPr>
      <w:r>
        <w:rPr>
          <w:rFonts w:hint="default" w:ascii="Times New Roman" w:hAnsi="Times New Roman" w:eastAsia="方正小标宋简体" w:cs="Times New Roman"/>
          <w:szCs w:val="32"/>
          <w:lang w:val="en-US" w:eastAsia="zh-CN"/>
        </w:rPr>
        <w:t>新乡市市区河渠社会化养护</w:t>
      </w:r>
      <w:r>
        <w:rPr>
          <w:rFonts w:hint="default" w:ascii="Times New Roman" w:hAnsi="Times New Roman" w:eastAsia="方正小标宋简体" w:cs="Times New Roman"/>
          <w:szCs w:val="32"/>
        </w:rPr>
        <w:t>项目负责人</w:t>
      </w:r>
    </w:p>
    <w:p>
      <w:pPr>
        <w:ind w:firstLine="640"/>
        <w:rPr>
          <w:rFonts w:hint="default" w:ascii="Times New Roman" w:hAnsi="Times New Roman" w:eastAsia="方正小标宋简体" w:cs="Times New Roman"/>
          <w:szCs w:val="32"/>
        </w:rPr>
      </w:pPr>
    </w:p>
    <w:p>
      <w:pPr>
        <w:ind w:firstLine="640"/>
        <w:rPr>
          <w:rFonts w:hint="default" w:ascii="Times New Roman" w:hAnsi="Times New Roman" w:cs="Times New Roman"/>
        </w:rPr>
      </w:pPr>
      <w:r>
        <w:rPr>
          <w:rFonts w:hint="default" w:ascii="Times New Roman" w:hAnsi="Times New Roman" w:cs="Times New Roman"/>
        </w:rPr>
        <w:t>1.请阐述本项目立项前的背景。</w:t>
      </w:r>
    </w:p>
    <w:p>
      <w:pPr>
        <w:ind w:firstLine="640"/>
        <w:rPr>
          <w:rFonts w:hint="default" w:ascii="Times New Roman" w:hAnsi="Times New Roman" w:cs="Times New Roman"/>
        </w:rPr>
      </w:pPr>
      <w:r>
        <w:rPr>
          <w:rFonts w:hint="default" w:ascii="Times New Roman" w:hAnsi="Times New Roman" w:cs="Times New Roman"/>
          <w:u w:val="single"/>
          <w:lang w:val="en-US" w:eastAsia="zh-CN"/>
        </w:rPr>
        <w:t>该项目是为了推进美丽新乡建设，加快开展新乡市河流综合整治，改善新乡市城区河流水环境质量设立</w:t>
      </w:r>
      <w:r>
        <w:rPr>
          <w:rFonts w:hint="default" w:ascii="Times New Roman" w:hAnsi="Times New Roman" w:cs="Times New Roman"/>
          <w:u w:val="single"/>
        </w:rPr>
        <w:t>。</w:t>
      </w:r>
    </w:p>
    <w:p>
      <w:pPr>
        <w:ind w:firstLine="640"/>
        <w:rPr>
          <w:rFonts w:hint="default" w:ascii="Times New Roman" w:hAnsi="Times New Roman" w:cs="Times New Roman"/>
        </w:rPr>
      </w:pPr>
      <w:r>
        <w:rPr>
          <w:rFonts w:hint="default" w:ascii="Times New Roman" w:hAnsi="Times New Roman" w:cs="Times New Roman"/>
        </w:rPr>
        <w:t>2.请简要描述预算申报情况。</w:t>
      </w:r>
    </w:p>
    <w:p>
      <w:pPr>
        <w:ind w:firstLine="640"/>
        <w:rPr>
          <w:rFonts w:hint="default" w:ascii="Times New Roman" w:hAnsi="Times New Roman" w:cs="Times New Roman"/>
          <w:u w:val="single"/>
        </w:rPr>
      </w:pPr>
      <w:r>
        <w:rPr>
          <w:rFonts w:hint="default" w:ascii="Times New Roman" w:hAnsi="Times New Roman" w:cs="Times New Roman"/>
          <w:u w:val="single"/>
        </w:rPr>
        <w:t>该项目</w:t>
      </w:r>
      <w:r>
        <w:rPr>
          <w:rFonts w:hint="default" w:ascii="Times New Roman" w:hAnsi="Times New Roman" w:cs="Times New Roman"/>
          <w:u w:val="single"/>
          <w:lang w:val="en-US" w:eastAsia="zh-CN"/>
        </w:rPr>
        <w:t>2022年</w:t>
      </w:r>
      <w:r>
        <w:rPr>
          <w:rFonts w:hint="default" w:ascii="Times New Roman" w:hAnsi="Times New Roman" w:cs="Times New Roman"/>
          <w:u w:val="single"/>
        </w:rPr>
        <w:t>申请预算</w:t>
      </w:r>
      <w:r>
        <w:rPr>
          <w:rFonts w:hint="default" w:ascii="Times New Roman" w:hAnsi="Times New Roman" w:cs="Times New Roman"/>
          <w:u w:val="single"/>
          <w:lang w:val="en-US" w:eastAsia="zh-CN"/>
        </w:rPr>
        <w:t>558.13万元</w:t>
      </w:r>
      <w:r>
        <w:rPr>
          <w:rFonts w:hint="default" w:ascii="Times New Roman" w:hAnsi="Times New Roman" w:cs="Times New Roman"/>
          <w:u w:val="single"/>
        </w:rPr>
        <w:t>，</w:t>
      </w:r>
      <w:r>
        <w:rPr>
          <w:rFonts w:hint="default" w:ascii="Times New Roman" w:hAnsi="Times New Roman" w:cs="Times New Roman"/>
          <w:u w:val="single"/>
          <w:lang w:val="en-US" w:eastAsia="zh-CN"/>
        </w:rPr>
        <w:t>财政</w:t>
      </w:r>
      <w:r>
        <w:rPr>
          <w:rFonts w:hint="default" w:ascii="Times New Roman" w:hAnsi="Times New Roman" w:cs="Times New Roman"/>
          <w:u w:val="single"/>
        </w:rPr>
        <w:t>批复预算279.06万元，</w:t>
      </w:r>
      <w:r>
        <w:rPr>
          <w:rFonts w:hint="default" w:ascii="Times New Roman" w:hAnsi="Times New Roman" w:cs="Times New Roman"/>
          <w:u w:val="single"/>
          <w:lang w:val="en-US" w:eastAsia="zh-CN"/>
        </w:rPr>
        <w:t>年中申请追加100万元，实际到位379.06万元，支出379.06万元</w:t>
      </w:r>
      <w:r>
        <w:rPr>
          <w:rFonts w:hint="default" w:ascii="Times New Roman" w:hAnsi="Times New Roman" w:cs="Times New Roman"/>
          <w:u w:val="single"/>
        </w:rPr>
        <w:t>。</w:t>
      </w:r>
    </w:p>
    <w:p>
      <w:pPr>
        <w:ind w:firstLine="640"/>
        <w:rPr>
          <w:rFonts w:hint="default" w:ascii="Times New Roman" w:hAnsi="Times New Roman" w:cs="Times New Roman"/>
        </w:rPr>
      </w:pPr>
      <w:r>
        <w:rPr>
          <w:rFonts w:hint="default" w:ascii="Times New Roman" w:hAnsi="Times New Roman" w:cs="Times New Roman"/>
        </w:rPr>
        <w:t>3.请简要</w:t>
      </w:r>
      <w:r>
        <w:rPr>
          <w:rFonts w:hint="default" w:ascii="Times New Roman" w:hAnsi="Times New Roman" w:cs="Times New Roman"/>
          <w:lang w:val="en-US" w:eastAsia="zh-CN"/>
        </w:rPr>
        <w:t>阐述项目单位在这次项目中的定位</w:t>
      </w:r>
      <w:r>
        <w:rPr>
          <w:rFonts w:hint="default" w:ascii="Times New Roman" w:hAnsi="Times New Roman" w:cs="Times New Roman"/>
        </w:rPr>
        <w:t>。</w:t>
      </w:r>
    </w:p>
    <w:p>
      <w:pPr>
        <w:ind w:firstLine="640"/>
        <w:rPr>
          <w:rFonts w:hint="default" w:ascii="Times New Roman" w:hAnsi="Times New Roman" w:cs="Times New Roman"/>
        </w:rPr>
      </w:pPr>
      <w:r>
        <w:rPr>
          <w:rFonts w:hint="default" w:ascii="Times New Roman" w:hAnsi="Times New Roman" w:cs="Times New Roman"/>
          <w:u w:val="single"/>
          <w:lang w:eastAsia="zh-CN"/>
        </w:rPr>
        <w:t>负责项目预算的编制和申请，开展招投标工作，确定养护单位，签订项目合同。按季度组织验收，出具验收报告，并依据验收报告支付养护费用</w:t>
      </w:r>
      <w:r>
        <w:rPr>
          <w:rFonts w:hint="default" w:ascii="Times New Roman" w:hAnsi="Times New Roman" w:cs="Times New Roman"/>
          <w:u w:val="single"/>
        </w:rPr>
        <w:t>。</w:t>
      </w:r>
    </w:p>
    <w:p>
      <w:pPr>
        <w:ind w:firstLine="640"/>
        <w:rPr>
          <w:rFonts w:hint="default" w:ascii="Times New Roman" w:hAnsi="Times New Roman" w:cs="Times New Roman"/>
        </w:rPr>
      </w:pPr>
      <w:r>
        <w:rPr>
          <w:rFonts w:hint="default" w:ascii="Times New Roman" w:hAnsi="Times New Roman" w:cs="Times New Roman"/>
        </w:rPr>
        <w:t>4.请谈谈</w:t>
      </w:r>
      <w:r>
        <w:rPr>
          <w:rFonts w:hint="default" w:ascii="Times New Roman" w:hAnsi="Times New Roman" w:cs="Times New Roman"/>
          <w:lang w:val="en-US" w:eastAsia="zh-CN"/>
        </w:rPr>
        <w:t>项目的</w:t>
      </w:r>
      <w:r>
        <w:rPr>
          <w:rFonts w:hint="default" w:ascii="Times New Roman" w:hAnsi="Times New Roman" w:cs="Times New Roman"/>
        </w:rPr>
        <w:t>执行情况。</w:t>
      </w:r>
    </w:p>
    <w:p>
      <w:pPr>
        <w:pStyle w:val="144"/>
        <w:ind w:firstLine="640"/>
        <w:rPr>
          <w:rFonts w:hint="default" w:ascii="Times New Roman" w:hAnsi="Times New Roman" w:cs="Times New Roman"/>
        </w:rPr>
      </w:pPr>
      <w:r>
        <w:rPr>
          <w:rFonts w:hint="default" w:ascii="Times New Roman" w:hAnsi="Times New Roman" w:cs="Times New Roman"/>
          <w:u w:val="single"/>
        </w:rPr>
        <w:t>本项目采取公开招标的方式确定中标单位，中标单位负责具体养护，市河渠中心每季度对养护内容进行验收，出具验收报告。</w:t>
      </w:r>
    </w:p>
    <w:p>
      <w:pPr>
        <w:pStyle w:val="144"/>
        <w:rPr>
          <w:rFonts w:hint="default" w:ascii="Times New Roman" w:hAnsi="Times New Roman" w:cs="Times New Roman"/>
          <w:lang w:val="en-US" w:eastAsia="zh-CN"/>
        </w:rPr>
      </w:pPr>
      <w:r>
        <w:rPr>
          <w:rFonts w:hint="default" w:ascii="Times New Roman" w:hAnsi="Times New Roman" w:cs="Times New Roman"/>
          <w:lang w:val="en-US" w:eastAsia="zh-CN"/>
        </w:rPr>
        <w:t>5.请谈谈您对社会化养护单位的满意度。</w:t>
      </w:r>
    </w:p>
    <w:p>
      <w:pPr>
        <w:pStyle w:val="144"/>
        <w:rPr>
          <w:rFonts w:hint="default" w:ascii="Times New Roman" w:hAnsi="Times New Roman" w:cs="Times New Roman"/>
          <w:lang w:val="en-US" w:eastAsia="zh-CN"/>
        </w:rPr>
        <w:sectPr>
          <w:footnotePr>
            <w:numRestart w:val="eachPage"/>
          </w:footnotePr>
          <w:pgSz w:w="11906" w:h="16838"/>
          <w:pgMar w:top="1304" w:right="1701" w:bottom="1304" w:left="1701" w:header="850" w:footer="992" w:gutter="0"/>
          <w:pgNumType w:fmt="decimal"/>
          <w:cols w:space="720" w:num="1"/>
          <w:docGrid w:linePitch="435" w:charSpace="0"/>
        </w:sectPr>
      </w:pPr>
      <w:r>
        <w:rPr>
          <w:rFonts w:hint="default" w:ascii="Times New Roman" w:hAnsi="Times New Roman" w:cs="Times New Roman"/>
          <w:u w:val="single"/>
          <w:lang w:val="en-US" w:eastAsia="zh-CN"/>
        </w:rPr>
        <w:t>我们社会化养护的费用都是按照最低标准测算的，养护效果也挺好，满意度在90%以上吧</w:t>
      </w:r>
      <w:r>
        <w:rPr>
          <w:rFonts w:hint="default" w:ascii="Times New Roman" w:hAnsi="Times New Roman" w:cs="Times New Roman"/>
          <w:lang w:val="en-US" w:eastAsia="zh-CN"/>
        </w:rPr>
        <w:t>。</w:t>
      </w:r>
    </w:p>
    <w:p>
      <w:pPr>
        <w:pStyle w:val="3"/>
        <w:ind w:firstLine="0" w:firstLineChars="0"/>
        <w:rPr>
          <w:rFonts w:hint="default" w:ascii="Times New Roman" w:hAnsi="Times New Roman" w:cs="Times New Roman"/>
        </w:rPr>
      </w:pPr>
      <w:bookmarkStart w:id="122" w:name="_Toc27740"/>
      <w:bookmarkStart w:id="123" w:name="_Toc91522509"/>
      <w:r>
        <w:rPr>
          <w:rFonts w:hint="default" w:ascii="Times New Roman" w:hAnsi="Times New Roman" w:cs="Times New Roman"/>
        </w:rPr>
        <w:t>附件4.满意度报告</w:t>
      </w:r>
      <w:bookmarkEnd w:id="122"/>
      <w:bookmarkEnd w:id="123"/>
    </w:p>
    <w:bookmarkEnd w:id="119"/>
    <w:bookmarkEnd w:id="120"/>
    <w:p>
      <w:pPr>
        <w:topLinePunct/>
        <w:autoSpaceDE w:val="0"/>
        <w:adjustRightInd w:val="0"/>
        <w:snapToGrid w:val="0"/>
        <w:spacing w:before="50" w:line="560" w:lineRule="exact"/>
        <w:jc w:val="center"/>
        <w:rPr>
          <w:rFonts w:hint="default" w:ascii="Times New Roman" w:hAnsi="Times New Roman" w:eastAsia="黑体" w:cs="Times New Roman"/>
          <w:bCs/>
          <w:color w:val="000000"/>
          <w:sz w:val="32"/>
          <w:szCs w:val="32"/>
        </w:rPr>
      </w:pPr>
      <w:r>
        <w:rPr>
          <w:rFonts w:hint="default" w:ascii="Times New Roman" w:hAnsi="Times New Roman" w:eastAsia="黑体" w:cs="Times New Roman"/>
          <w:bCs/>
          <w:color w:val="000000"/>
          <w:sz w:val="32"/>
          <w:szCs w:val="32"/>
        </w:rPr>
        <w:t>社会满意度分析报告</w:t>
      </w:r>
    </w:p>
    <w:p>
      <w:pPr>
        <w:topLinePunct/>
        <w:autoSpaceDE w:val="0"/>
        <w:adjustRightInd w:val="0"/>
        <w:snapToGrid w:val="0"/>
        <w:spacing w:line="560" w:lineRule="exact"/>
        <w:ind w:firstLine="640" w:firstLineChars="200"/>
        <w:outlineLvl w:val="0"/>
        <w:rPr>
          <w:rFonts w:hint="default" w:ascii="Times New Roman" w:hAnsi="Times New Roman" w:eastAsia="黑体" w:cs="Times New Roman"/>
          <w:bCs/>
          <w:color w:val="000000"/>
          <w:sz w:val="32"/>
          <w:szCs w:val="32"/>
        </w:rPr>
      </w:pPr>
      <w:bookmarkStart w:id="124" w:name="_Toc32430"/>
      <w:bookmarkStart w:id="125" w:name="_Toc9368"/>
      <w:bookmarkStart w:id="126" w:name="_Toc23015"/>
      <w:bookmarkStart w:id="127" w:name="_Toc18075"/>
      <w:bookmarkStart w:id="128" w:name="_Toc2277"/>
      <w:bookmarkStart w:id="129" w:name="_Toc22466"/>
      <w:bookmarkStart w:id="130" w:name="_Toc30362"/>
      <w:r>
        <w:rPr>
          <w:rFonts w:hint="default" w:ascii="Times New Roman" w:hAnsi="Times New Roman" w:eastAsia="黑体" w:cs="Times New Roman"/>
          <w:bCs/>
          <w:color w:val="000000"/>
          <w:sz w:val="32"/>
          <w:szCs w:val="32"/>
        </w:rPr>
        <w:t>一、调研目的</w:t>
      </w:r>
      <w:bookmarkEnd w:id="124"/>
      <w:bookmarkEnd w:id="125"/>
      <w:bookmarkEnd w:id="126"/>
      <w:bookmarkEnd w:id="127"/>
      <w:bookmarkEnd w:id="128"/>
      <w:bookmarkEnd w:id="129"/>
      <w:bookmarkEnd w:id="130"/>
    </w:p>
    <w:p>
      <w:pPr>
        <w:spacing w:line="560" w:lineRule="exact"/>
        <w:ind w:firstLine="640" w:firstLineChars="200"/>
        <w:jc w:val="both"/>
        <w:rPr>
          <w:rFonts w:hint="default" w:ascii="Times New Roman" w:hAnsi="Times New Roman" w:eastAsia="仿宋_GB2312" w:cs="Times New Roman"/>
          <w:sz w:val="32"/>
          <w:szCs w:val="32"/>
          <w:lang w:val="en-US" w:eastAsia="zh-CN" w:bidi="ar-SA"/>
        </w:rPr>
      </w:pPr>
      <w:r>
        <w:rPr>
          <w:rFonts w:hint="default" w:ascii="Times New Roman" w:hAnsi="Times New Roman" w:eastAsia="仿宋_GB2312" w:cs="Times New Roman"/>
          <w:kern w:val="0"/>
          <w:sz w:val="32"/>
          <w:szCs w:val="32"/>
          <w:lang w:val="zh-TW" w:eastAsia="zh-TW"/>
        </w:rPr>
        <w:t>为客观测定专项资金的社会效果，依据</w:t>
      </w:r>
      <w:r>
        <w:rPr>
          <w:rFonts w:hint="default" w:ascii="Times New Roman" w:hAnsi="Times New Roman" w:eastAsia="仿宋_GB2312" w:cs="Times New Roman"/>
          <w:kern w:val="0"/>
          <w:sz w:val="32"/>
          <w:szCs w:val="32"/>
        </w:rPr>
        <w:t>本次</w:t>
      </w:r>
      <w:r>
        <w:rPr>
          <w:rFonts w:hint="default" w:ascii="Times New Roman" w:hAnsi="Times New Roman" w:eastAsia="仿宋_GB2312" w:cs="Times New Roman"/>
          <w:kern w:val="0"/>
          <w:sz w:val="32"/>
          <w:szCs w:val="32"/>
          <w:lang w:val="zh-TW" w:eastAsia="zh-TW"/>
        </w:rPr>
        <w:t>绩效评价的</w:t>
      </w:r>
      <w:r>
        <w:rPr>
          <w:rFonts w:hint="default" w:ascii="Times New Roman" w:hAnsi="Times New Roman" w:eastAsia="仿宋_GB2312" w:cs="Times New Roman"/>
          <w:kern w:val="0"/>
          <w:sz w:val="32"/>
          <w:szCs w:val="32"/>
        </w:rPr>
        <w:t>目标</w:t>
      </w:r>
      <w:r>
        <w:rPr>
          <w:rFonts w:hint="default" w:ascii="Times New Roman" w:hAnsi="Times New Roman" w:eastAsia="仿宋_GB2312" w:cs="Times New Roman"/>
          <w:kern w:val="0"/>
          <w:sz w:val="32"/>
          <w:szCs w:val="32"/>
          <w:lang w:val="zh-TW" w:eastAsia="zh-TW"/>
        </w:rPr>
        <w:t>，引入</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zh-TW" w:eastAsia="zh-TW"/>
        </w:rPr>
        <w:t>满意度</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zh-TW" w:eastAsia="zh-TW"/>
        </w:rPr>
        <w:t>指标，对</w:t>
      </w:r>
      <w:r>
        <w:rPr>
          <w:rFonts w:hint="default" w:ascii="Times New Roman" w:hAnsi="Times New Roman" w:cs="Times New Roman"/>
          <w:szCs w:val="32"/>
        </w:rPr>
        <w:t>2022年新乡市</w:t>
      </w:r>
      <w:r>
        <w:rPr>
          <w:rFonts w:hint="default" w:ascii="Times New Roman" w:hAnsi="Times New Roman" w:cs="Times New Roman"/>
          <w:szCs w:val="32"/>
          <w:lang w:val="en-US" w:eastAsia="zh-CN"/>
        </w:rPr>
        <w:t>市区河渠社会化养护</w:t>
      </w:r>
      <w:r>
        <w:rPr>
          <w:rFonts w:hint="default" w:ascii="Times New Roman" w:hAnsi="Times New Roman" w:eastAsia="仿宋_GB2312" w:cs="Times New Roman"/>
          <w:kern w:val="0"/>
          <w:sz w:val="32"/>
          <w:szCs w:val="32"/>
        </w:rPr>
        <w:t>项目的</w:t>
      </w:r>
      <w:r>
        <w:rPr>
          <w:rFonts w:hint="default" w:ascii="Times New Roman" w:hAnsi="Times New Roman" w:cs="Times New Roman"/>
          <w:kern w:val="0"/>
          <w:sz w:val="32"/>
          <w:szCs w:val="32"/>
          <w:lang w:val="en-US" w:eastAsia="zh-CN"/>
        </w:rPr>
        <w:t>购买方和市民</w:t>
      </w:r>
      <w:r>
        <w:rPr>
          <w:rFonts w:hint="default" w:ascii="Times New Roman" w:hAnsi="Times New Roman" w:eastAsia="仿宋_GB2312" w:cs="Times New Roman"/>
          <w:kern w:val="0"/>
          <w:sz w:val="32"/>
          <w:szCs w:val="32"/>
          <w:lang w:val="zh-TW" w:eastAsia="zh-TW"/>
        </w:rPr>
        <w:t>满意度</w:t>
      </w:r>
      <w:r>
        <w:rPr>
          <w:rFonts w:hint="default" w:ascii="Times New Roman" w:hAnsi="Times New Roman" w:eastAsia="仿宋_GB2312" w:cs="Times New Roman"/>
          <w:kern w:val="0"/>
          <w:sz w:val="32"/>
          <w:szCs w:val="32"/>
        </w:rPr>
        <w:t>进行</w:t>
      </w:r>
      <w:r>
        <w:rPr>
          <w:rFonts w:hint="default" w:ascii="Times New Roman" w:hAnsi="Times New Roman" w:eastAsia="仿宋_GB2312" w:cs="Times New Roman"/>
          <w:kern w:val="0"/>
          <w:sz w:val="32"/>
          <w:szCs w:val="32"/>
          <w:lang w:val="zh-TW" w:eastAsia="zh-TW"/>
        </w:rPr>
        <w:t>调查，并通过</w:t>
      </w:r>
      <w:r>
        <w:rPr>
          <w:rFonts w:hint="default" w:ascii="Times New Roman" w:hAnsi="Times New Roman" w:eastAsia="仿宋_GB2312" w:cs="Times New Roman"/>
          <w:kern w:val="0"/>
          <w:sz w:val="32"/>
          <w:szCs w:val="32"/>
        </w:rPr>
        <w:t>对调查问卷结果的统计分析</w:t>
      </w:r>
      <w:r>
        <w:rPr>
          <w:rFonts w:hint="default" w:ascii="Times New Roman" w:hAnsi="Times New Roman" w:eastAsia="仿宋_GB2312" w:cs="Times New Roman"/>
          <w:kern w:val="0"/>
          <w:sz w:val="32"/>
          <w:szCs w:val="32"/>
          <w:lang w:val="zh-TW" w:eastAsia="zh-TW"/>
        </w:rPr>
        <w:t>，发现项目设计和管理中的问题，进而为</w:t>
      </w:r>
      <w:r>
        <w:rPr>
          <w:rFonts w:hint="default" w:ascii="Times New Roman" w:hAnsi="Times New Roman" w:eastAsia="仿宋_GB2312" w:cs="Times New Roman"/>
          <w:kern w:val="0"/>
          <w:sz w:val="32"/>
          <w:szCs w:val="32"/>
        </w:rPr>
        <w:t>项目提供参考</w:t>
      </w:r>
      <w:r>
        <w:rPr>
          <w:rFonts w:hint="default" w:ascii="Times New Roman" w:hAnsi="Times New Roman" w:cs="Times New Roman"/>
          <w:kern w:val="0"/>
          <w:sz w:val="32"/>
          <w:szCs w:val="32"/>
          <w:lang w:eastAsia="zh-CN"/>
        </w:rPr>
        <w:t>。</w:t>
      </w:r>
    </w:p>
    <w:p>
      <w:pPr>
        <w:topLinePunct/>
        <w:autoSpaceDE w:val="0"/>
        <w:adjustRightInd w:val="0"/>
        <w:snapToGrid w:val="0"/>
        <w:spacing w:line="560" w:lineRule="exact"/>
        <w:ind w:firstLine="640" w:firstLineChars="200"/>
        <w:outlineLvl w:val="0"/>
        <w:rPr>
          <w:rFonts w:hint="default" w:ascii="Times New Roman" w:hAnsi="Times New Roman" w:eastAsia="黑体" w:cs="Times New Roman"/>
          <w:bCs/>
          <w:color w:val="000000"/>
          <w:sz w:val="32"/>
          <w:szCs w:val="32"/>
        </w:rPr>
      </w:pPr>
      <w:bookmarkStart w:id="131" w:name="_Toc20784"/>
      <w:bookmarkStart w:id="132" w:name="_Toc22411"/>
      <w:bookmarkStart w:id="133" w:name="_Toc13777"/>
      <w:bookmarkStart w:id="134" w:name="_Toc2774"/>
      <w:bookmarkStart w:id="135" w:name="_Toc22174"/>
      <w:bookmarkStart w:id="136" w:name="_Toc11824"/>
      <w:bookmarkStart w:id="137" w:name="_Toc18486"/>
      <w:r>
        <w:rPr>
          <w:rFonts w:hint="default" w:ascii="Times New Roman" w:hAnsi="Times New Roman" w:eastAsia="黑体" w:cs="Times New Roman"/>
          <w:bCs/>
          <w:color w:val="000000"/>
          <w:sz w:val="32"/>
          <w:szCs w:val="32"/>
        </w:rPr>
        <w:t>二、调研对象</w:t>
      </w:r>
      <w:bookmarkEnd w:id="131"/>
      <w:bookmarkEnd w:id="132"/>
      <w:bookmarkEnd w:id="133"/>
      <w:bookmarkEnd w:id="134"/>
      <w:bookmarkEnd w:id="135"/>
      <w:bookmarkEnd w:id="136"/>
      <w:bookmarkEnd w:id="137"/>
    </w:p>
    <w:p>
      <w:pPr>
        <w:topLinePunct/>
        <w:autoSpaceDE w:val="0"/>
        <w:adjustRightInd w:val="0"/>
        <w:snapToGrid w:val="0"/>
        <w:spacing w:line="560" w:lineRule="exact"/>
        <w:ind w:firstLine="640" w:firstLineChars="200"/>
        <w:rPr>
          <w:rFonts w:hint="default" w:ascii="Times New Roman" w:hAnsi="Times New Roman" w:eastAsia="仿宋_GB2312" w:cs="Times New Roman"/>
          <w:bCs/>
          <w:kern w:val="0"/>
          <w:sz w:val="32"/>
          <w:szCs w:val="32"/>
        </w:rPr>
      </w:pPr>
      <w:r>
        <w:rPr>
          <w:rFonts w:hint="default" w:ascii="Times New Roman" w:hAnsi="Times New Roman" w:eastAsia="仿宋_GB2312" w:cs="Times New Roman"/>
          <w:kern w:val="0"/>
          <w:sz w:val="32"/>
          <w:szCs w:val="32"/>
        </w:rPr>
        <w:t>本次调研的对象为</w:t>
      </w:r>
      <w:r>
        <w:rPr>
          <w:rFonts w:hint="default" w:ascii="Times New Roman" w:hAnsi="Times New Roman" w:cs="Times New Roman"/>
          <w:kern w:val="0"/>
          <w:sz w:val="32"/>
          <w:szCs w:val="32"/>
          <w:lang w:val="en-US" w:eastAsia="zh-CN"/>
        </w:rPr>
        <w:t>购买方和市民</w:t>
      </w:r>
      <w:r>
        <w:rPr>
          <w:rFonts w:hint="default" w:ascii="Times New Roman" w:hAnsi="Times New Roman" w:eastAsia="仿宋_GB2312" w:cs="Times New Roman"/>
          <w:kern w:val="0"/>
          <w:sz w:val="32"/>
          <w:szCs w:val="32"/>
        </w:rPr>
        <w:t>。</w:t>
      </w:r>
    </w:p>
    <w:p>
      <w:pPr>
        <w:topLinePunct/>
        <w:autoSpaceDE w:val="0"/>
        <w:adjustRightInd w:val="0"/>
        <w:snapToGrid w:val="0"/>
        <w:spacing w:line="560" w:lineRule="exact"/>
        <w:ind w:firstLine="643" w:firstLineChars="200"/>
        <w:outlineLvl w:val="1"/>
        <w:rPr>
          <w:rFonts w:hint="default" w:ascii="Times New Roman" w:hAnsi="Times New Roman" w:eastAsia="仿宋_GB2312" w:cs="Times New Roman"/>
          <w:b/>
          <w:kern w:val="0"/>
          <w:sz w:val="32"/>
          <w:szCs w:val="32"/>
        </w:rPr>
      </w:pPr>
      <w:bookmarkStart w:id="138" w:name="_Toc29807"/>
      <w:bookmarkStart w:id="139" w:name="_Toc8252"/>
      <w:bookmarkStart w:id="140" w:name="_Toc23731"/>
      <w:bookmarkStart w:id="141" w:name="_Toc7679"/>
      <w:bookmarkStart w:id="142" w:name="_Toc12570"/>
      <w:bookmarkStart w:id="143" w:name="_Toc4378"/>
      <w:bookmarkStart w:id="144" w:name="_Toc22607"/>
      <w:r>
        <w:rPr>
          <w:rFonts w:hint="default" w:ascii="Times New Roman" w:hAnsi="Times New Roman" w:eastAsia="仿宋_GB2312" w:cs="Times New Roman"/>
          <w:b/>
          <w:kern w:val="0"/>
          <w:sz w:val="32"/>
          <w:szCs w:val="32"/>
        </w:rPr>
        <w:t>1.调研内容</w:t>
      </w:r>
      <w:bookmarkEnd w:id="138"/>
      <w:bookmarkEnd w:id="139"/>
      <w:bookmarkEnd w:id="140"/>
      <w:bookmarkEnd w:id="141"/>
      <w:bookmarkEnd w:id="142"/>
      <w:bookmarkEnd w:id="143"/>
      <w:bookmarkEnd w:id="144"/>
    </w:p>
    <w:p>
      <w:pPr>
        <w:topLinePunct/>
        <w:autoSpaceDE w:val="0"/>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（1）对</w:t>
      </w:r>
      <w:r>
        <w:rPr>
          <w:rFonts w:hint="default" w:ascii="Times New Roman" w:hAnsi="Times New Roman" w:cs="Times New Roman"/>
          <w:kern w:val="0"/>
          <w:sz w:val="32"/>
          <w:szCs w:val="32"/>
          <w:lang w:val="en-US" w:eastAsia="zh-CN"/>
        </w:rPr>
        <w:t>项目实施后河渠水面环境、绿地环境、养护方式</w:t>
      </w:r>
      <w:r>
        <w:rPr>
          <w:rFonts w:hint="default" w:ascii="Times New Roman" w:hAnsi="Times New Roman" w:eastAsia="仿宋_GB2312" w:cs="Times New Roman"/>
          <w:kern w:val="0"/>
          <w:sz w:val="32"/>
          <w:szCs w:val="32"/>
        </w:rPr>
        <w:t>等</w:t>
      </w:r>
      <w:r>
        <w:rPr>
          <w:rFonts w:hint="default" w:ascii="Times New Roman" w:hAnsi="Times New Roman" w:cs="Times New Roman"/>
          <w:kern w:val="0"/>
          <w:sz w:val="32"/>
          <w:szCs w:val="32"/>
          <w:lang w:val="en-US" w:eastAsia="zh-CN"/>
        </w:rPr>
        <w:t>的</w:t>
      </w:r>
      <w:r>
        <w:rPr>
          <w:rFonts w:hint="default" w:ascii="Times New Roman" w:hAnsi="Times New Roman" w:eastAsia="仿宋_GB2312" w:cs="Times New Roman"/>
          <w:kern w:val="0"/>
          <w:sz w:val="32"/>
          <w:szCs w:val="32"/>
        </w:rPr>
        <w:t>满意度。</w:t>
      </w:r>
    </w:p>
    <w:p>
      <w:pPr>
        <w:topLinePunct/>
        <w:autoSpaceDE w:val="0"/>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（2）对项目的意见和建议，通过开放式问答收集，涵盖各个方面。</w:t>
      </w:r>
    </w:p>
    <w:p>
      <w:pPr>
        <w:topLinePunct/>
        <w:autoSpaceDE w:val="0"/>
        <w:spacing w:line="560" w:lineRule="exact"/>
        <w:ind w:firstLine="643" w:firstLineChars="200"/>
        <w:outlineLvl w:val="1"/>
        <w:rPr>
          <w:rFonts w:hint="default" w:ascii="Times New Roman" w:hAnsi="Times New Roman" w:eastAsia="仿宋_GB2312" w:cs="Times New Roman"/>
          <w:b/>
          <w:kern w:val="0"/>
          <w:sz w:val="32"/>
          <w:szCs w:val="32"/>
        </w:rPr>
      </w:pPr>
      <w:bookmarkStart w:id="145" w:name="_Toc13461"/>
      <w:bookmarkStart w:id="146" w:name="_Toc19824"/>
      <w:bookmarkStart w:id="147" w:name="_Toc10705"/>
      <w:bookmarkStart w:id="148" w:name="_Toc31778"/>
      <w:bookmarkStart w:id="149" w:name="_Toc18700"/>
      <w:bookmarkStart w:id="150" w:name="_Toc19183"/>
      <w:bookmarkStart w:id="151" w:name="_Toc147"/>
      <w:r>
        <w:rPr>
          <w:rFonts w:hint="default" w:ascii="Times New Roman" w:hAnsi="Times New Roman" w:eastAsia="仿宋_GB2312" w:cs="Times New Roman"/>
          <w:b/>
          <w:kern w:val="0"/>
          <w:sz w:val="32"/>
          <w:szCs w:val="32"/>
        </w:rPr>
        <w:t>2.调研方法</w:t>
      </w:r>
      <w:bookmarkEnd w:id="145"/>
      <w:bookmarkEnd w:id="146"/>
      <w:bookmarkEnd w:id="147"/>
      <w:bookmarkEnd w:id="148"/>
      <w:bookmarkEnd w:id="149"/>
      <w:bookmarkEnd w:id="150"/>
      <w:bookmarkEnd w:id="151"/>
    </w:p>
    <w:p>
      <w:pPr>
        <w:topLinePunct/>
        <w:autoSpaceDE w:val="0"/>
        <w:spacing w:line="560" w:lineRule="exact"/>
        <w:ind w:firstLine="640" w:firstLineChars="200"/>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问卷调查采取按比例抽样的方式进行。在全面调研开展之前会先进行论证，依据论证结果对问卷和抽样方案再进行修改和调整。评价过程中还将采用现场勘察、档案法、市场比较法获取相应数据。然后采用评价模型进行定量和定性分析评价，处理数据。</w:t>
      </w:r>
    </w:p>
    <w:p>
      <w:pPr>
        <w:topLinePunct/>
        <w:autoSpaceDE w:val="0"/>
        <w:spacing w:line="560" w:lineRule="exact"/>
        <w:ind w:firstLine="643" w:firstLineChars="200"/>
        <w:outlineLvl w:val="1"/>
        <w:rPr>
          <w:rFonts w:hint="default" w:ascii="Times New Roman" w:hAnsi="Times New Roman" w:eastAsia="仿宋_GB2312" w:cs="Times New Roman"/>
          <w:b/>
          <w:kern w:val="0"/>
          <w:sz w:val="32"/>
          <w:szCs w:val="32"/>
        </w:rPr>
      </w:pPr>
      <w:bookmarkStart w:id="152" w:name="_Toc12646"/>
      <w:bookmarkStart w:id="153" w:name="_Toc14247"/>
      <w:bookmarkStart w:id="154" w:name="_Toc24402"/>
      <w:bookmarkStart w:id="155" w:name="_Toc3953"/>
      <w:bookmarkStart w:id="156" w:name="_Toc5882"/>
      <w:bookmarkStart w:id="157" w:name="_Toc32001"/>
      <w:bookmarkStart w:id="158" w:name="_Toc22566"/>
      <w:r>
        <w:rPr>
          <w:rFonts w:hint="default" w:ascii="Times New Roman" w:hAnsi="Times New Roman" w:eastAsia="仿宋_GB2312" w:cs="Times New Roman"/>
          <w:b/>
          <w:kern w:val="0"/>
          <w:sz w:val="32"/>
          <w:szCs w:val="32"/>
        </w:rPr>
        <w:t>3.抽样方式</w:t>
      </w:r>
      <w:bookmarkEnd w:id="152"/>
      <w:bookmarkEnd w:id="153"/>
      <w:bookmarkEnd w:id="154"/>
      <w:bookmarkEnd w:id="155"/>
      <w:bookmarkEnd w:id="156"/>
      <w:bookmarkEnd w:id="157"/>
      <w:bookmarkEnd w:id="158"/>
    </w:p>
    <w:p>
      <w:pPr>
        <w:topLinePunct/>
        <w:autoSpaceDE w:val="0"/>
        <w:adjustRightInd w:val="0"/>
        <w:snapToGrid w:val="0"/>
        <w:spacing w:line="560" w:lineRule="exact"/>
        <w:ind w:firstLine="640" w:firstLineChars="200"/>
        <w:rPr>
          <w:rFonts w:hint="default" w:ascii="Times New Roman" w:hAnsi="Times New Roman" w:eastAsia="仿宋_GB2312" w:cs="Times New Roman"/>
          <w:b/>
          <w:kern w:val="0"/>
          <w:sz w:val="32"/>
          <w:szCs w:val="32"/>
        </w:rPr>
      </w:pPr>
      <w:r>
        <w:rPr>
          <w:rFonts w:hint="default" w:ascii="Times New Roman" w:hAnsi="Times New Roman" w:eastAsia="仿宋_GB2312" w:cs="Times New Roman"/>
          <w:kern w:val="0"/>
          <w:sz w:val="32"/>
          <w:szCs w:val="32"/>
        </w:rPr>
        <w:t>为确保问卷调研的全面性，本次调研问卷调查采取随机抽样的方式进行，对该项目</w:t>
      </w:r>
      <w:r>
        <w:rPr>
          <w:rFonts w:hint="default" w:ascii="Times New Roman" w:hAnsi="Times New Roman" w:cs="Times New Roman"/>
          <w:kern w:val="0"/>
          <w:sz w:val="32"/>
          <w:szCs w:val="32"/>
          <w:lang w:val="en-US" w:eastAsia="zh-CN"/>
        </w:rPr>
        <w:t>受益对象</w:t>
      </w:r>
      <w:r>
        <w:rPr>
          <w:rFonts w:hint="default" w:ascii="Times New Roman" w:hAnsi="Times New Roman" w:eastAsia="仿宋_GB2312" w:cs="Times New Roman"/>
          <w:kern w:val="0"/>
          <w:sz w:val="32"/>
          <w:szCs w:val="32"/>
        </w:rPr>
        <w:t>进行满意度调查。</w:t>
      </w:r>
    </w:p>
    <w:p>
      <w:pPr>
        <w:topLinePunct/>
        <w:autoSpaceDE w:val="0"/>
        <w:adjustRightInd w:val="0"/>
        <w:snapToGrid w:val="0"/>
        <w:spacing w:line="560" w:lineRule="exact"/>
        <w:ind w:firstLine="643" w:firstLineChars="200"/>
        <w:outlineLvl w:val="1"/>
        <w:rPr>
          <w:rFonts w:hint="default" w:ascii="Times New Roman" w:hAnsi="Times New Roman" w:eastAsia="仿宋_GB2312" w:cs="Times New Roman"/>
          <w:b/>
          <w:kern w:val="0"/>
          <w:sz w:val="32"/>
          <w:szCs w:val="32"/>
        </w:rPr>
      </w:pPr>
      <w:bookmarkStart w:id="159" w:name="_Toc13342"/>
      <w:bookmarkStart w:id="160" w:name="_Toc17559"/>
      <w:bookmarkStart w:id="161" w:name="_Toc178"/>
      <w:bookmarkStart w:id="162" w:name="_Toc2671"/>
      <w:bookmarkStart w:id="163" w:name="_Toc7763"/>
      <w:bookmarkStart w:id="164" w:name="_Toc28920"/>
      <w:bookmarkStart w:id="165" w:name="_Toc2242"/>
      <w:r>
        <w:rPr>
          <w:rFonts w:hint="default" w:ascii="Times New Roman" w:hAnsi="Times New Roman" w:eastAsia="仿宋_GB2312" w:cs="Times New Roman"/>
          <w:b/>
          <w:kern w:val="0"/>
          <w:sz w:val="32"/>
          <w:szCs w:val="32"/>
        </w:rPr>
        <w:t>4.问卷调查结果</w:t>
      </w:r>
      <w:bookmarkEnd w:id="159"/>
      <w:bookmarkEnd w:id="160"/>
      <w:bookmarkEnd w:id="161"/>
      <w:bookmarkEnd w:id="162"/>
      <w:bookmarkEnd w:id="163"/>
      <w:bookmarkEnd w:id="164"/>
      <w:bookmarkEnd w:id="165"/>
    </w:p>
    <w:p>
      <w:pPr>
        <w:keepNext w:val="0"/>
        <w:keepLines w:val="0"/>
        <w:pageBreakBefore w:val="0"/>
        <w:widowControl/>
        <w:kinsoku/>
        <w:wordWrap/>
        <w:overflowPunct/>
        <w:topLinePunct w:val="0"/>
        <w:autoSpaceDE/>
        <w:autoSpaceDN/>
        <w:bidi w:val="0"/>
        <w:spacing w:line="560" w:lineRule="exact"/>
        <w:ind w:left="0" w:firstLine="640" w:firstLineChars="200"/>
        <w:textAlignment w:val="auto"/>
        <w:rPr>
          <w:rFonts w:hint="default" w:ascii="Times New Roman" w:hAnsi="Times New Roman" w:eastAsia="仿宋_GB2312" w:cs="Times New Roman"/>
          <w:kern w:val="0"/>
          <w:sz w:val="32"/>
          <w:szCs w:val="32"/>
          <w:lang w:val="zh-TW" w:eastAsia="zh-TW"/>
        </w:rPr>
      </w:pPr>
      <w:r>
        <w:rPr>
          <w:rFonts w:hint="default" w:ascii="Times New Roman" w:hAnsi="Times New Roman" w:eastAsia="仿宋_GB2312" w:cs="Times New Roman"/>
          <w:kern w:val="0"/>
          <w:sz w:val="32"/>
          <w:szCs w:val="32"/>
        </w:rPr>
        <w:t>为给调研对象创造良好的作答环境、保证调研的科学性和严谨性，由评价组工作人员组织问卷的发放与回收。</w:t>
      </w:r>
      <w:r>
        <w:rPr>
          <w:rFonts w:hint="default" w:ascii="Times New Roman" w:hAnsi="Times New Roman" w:eastAsia="仿宋_GB2312" w:cs="Times New Roman"/>
          <w:kern w:val="0"/>
          <w:sz w:val="32"/>
          <w:szCs w:val="32"/>
          <w:lang w:val="zh-TW" w:eastAsia="zh-TW"/>
        </w:rPr>
        <w:t>满意度调查结果为</w:t>
      </w:r>
      <w:r>
        <w:rPr>
          <w:rFonts w:hint="default" w:ascii="Times New Roman" w:hAnsi="Times New Roman" w:cs="Times New Roman"/>
          <w:kern w:val="0"/>
          <w:sz w:val="32"/>
          <w:szCs w:val="32"/>
          <w:lang w:val="en-US" w:eastAsia="zh-CN"/>
        </w:rPr>
        <w:t>85</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zh-TW" w:eastAsia="zh-TW"/>
        </w:rPr>
        <w:t>。</w:t>
      </w:r>
    </w:p>
    <w:p>
      <w:pPr>
        <w:topLinePunct/>
        <w:autoSpaceDE w:val="0"/>
        <w:adjustRightInd w:val="0"/>
        <w:snapToGrid w:val="0"/>
        <w:spacing w:line="560" w:lineRule="exact"/>
        <w:ind w:firstLine="643" w:firstLineChars="200"/>
        <w:outlineLvl w:val="1"/>
        <w:rPr>
          <w:rFonts w:hint="default" w:ascii="Times New Roman" w:hAnsi="Times New Roman" w:eastAsia="仿宋_GB2312" w:cs="Times New Roman"/>
          <w:b/>
          <w:sz w:val="32"/>
          <w:szCs w:val="32"/>
        </w:rPr>
      </w:pPr>
      <w:bookmarkStart w:id="166" w:name="_Toc32148"/>
      <w:bookmarkStart w:id="167" w:name="_Toc10150"/>
      <w:bookmarkStart w:id="168" w:name="_Toc21985"/>
      <w:bookmarkStart w:id="169" w:name="_Toc25359"/>
      <w:bookmarkStart w:id="170" w:name="_Toc24709"/>
      <w:bookmarkStart w:id="171" w:name="_Toc2765"/>
      <w:bookmarkStart w:id="172" w:name="_Toc15113"/>
      <w:r>
        <w:rPr>
          <w:rFonts w:hint="default" w:ascii="Times New Roman" w:hAnsi="Times New Roman" w:eastAsia="仿宋_GB2312" w:cs="Times New Roman"/>
          <w:b/>
          <w:kern w:val="0"/>
          <w:sz w:val="32"/>
          <w:szCs w:val="32"/>
        </w:rPr>
        <w:t>5.</w:t>
      </w:r>
      <w:r>
        <w:rPr>
          <w:rFonts w:hint="default" w:ascii="Times New Roman" w:hAnsi="Times New Roman" w:eastAsia="仿宋_GB2312" w:cs="Times New Roman"/>
          <w:b/>
          <w:kern w:val="0"/>
          <w:sz w:val="32"/>
          <w:szCs w:val="32"/>
          <w:lang w:val="zh-TW"/>
        </w:rPr>
        <w:t>调查问卷具体汇总分析</w:t>
      </w:r>
      <w:bookmarkEnd w:id="166"/>
      <w:bookmarkEnd w:id="167"/>
      <w:bookmarkEnd w:id="168"/>
      <w:bookmarkEnd w:id="169"/>
      <w:bookmarkEnd w:id="170"/>
      <w:bookmarkEnd w:id="171"/>
      <w:bookmarkEnd w:id="172"/>
    </w:p>
    <w:p>
      <w:pPr>
        <w:keepNext w:val="0"/>
        <w:keepLines w:val="0"/>
        <w:pageBreakBefore w:val="0"/>
        <w:kinsoku/>
        <w:wordWrap/>
        <w:overflowPunct/>
        <w:topLinePunct/>
        <w:autoSpaceDE w:val="0"/>
        <w:autoSpaceDN/>
        <w:bidi w:val="0"/>
        <w:adjustRightInd/>
        <w:snapToGrid/>
        <w:ind w:firstLine="640" w:firstLineChars="200"/>
        <w:textAlignment w:val="auto"/>
        <w:rPr>
          <w:rFonts w:hint="default" w:ascii="Times New Roman" w:hAnsi="Times New Roman" w:cs="Times New Roman"/>
          <w:sz w:val="32"/>
          <w:szCs w:val="32"/>
        </w:rPr>
      </w:pPr>
      <w:r>
        <w:rPr>
          <w:rFonts w:hint="default" w:ascii="Times New Roman" w:hAnsi="Times New Roman" w:cs="Times New Roman"/>
          <w:sz w:val="32"/>
          <w:szCs w:val="32"/>
          <w:lang w:val="zh-TW" w:eastAsia="zh-TW"/>
        </w:rPr>
        <w:t>本次对</w:t>
      </w:r>
      <w:r>
        <w:rPr>
          <w:rFonts w:hint="default" w:ascii="Times New Roman" w:hAnsi="Times New Roman" w:cs="Times New Roman"/>
          <w:sz w:val="32"/>
          <w:szCs w:val="32"/>
        </w:rPr>
        <w:t>202</w:t>
      </w:r>
      <w:r>
        <w:rPr>
          <w:rFonts w:hint="default" w:ascii="Times New Roman" w:hAnsi="Times New Roman" w:cs="Times New Roman"/>
          <w:sz w:val="32"/>
          <w:szCs w:val="32"/>
          <w:lang w:val="en-US" w:eastAsia="zh-CN"/>
        </w:rPr>
        <w:t>2</w:t>
      </w:r>
      <w:r>
        <w:rPr>
          <w:rFonts w:hint="default" w:ascii="Times New Roman" w:hAnsi="Times New Roman" w:cs="Times New Roman"/>
          <w:sz w:val="32"/>
          <w:szCs w:val="32"/>
        </w:rPr>
        <w:t>年</w:t>
      </w:r>
      <w:r>
        <w:rPr>
          <w:rFonts w:hint="default" w:ascii="Times New Roman" w:hAnsi="Times New Roman" w:cs="Times New Roman"/>
          <w:sz w:val="32"/>
          <w:szCs w:val="32"/>
          <w:lang w:val="en-US" w:eastAsia="zh-CN"/>
        </w:rPr>
        <w:t>新乡</w:t>
      </w:r>
      <w:r>
        <w:rPr>
          <w:rFonts w:hint="default" w:ascii="Times New Roman" w:hAnsi="Times New Roman" w:cs="Times New Roman"/>
          <w:sz w:val="32"/>
          <w:szCs w:val="32"/>
        </w:rPr>
        <w:t>市</w:t>
      </w:r>
      <w:r>
        <w:rPr>
          <w:rFonts w:hint="default" w:ascii="Times New Roman" w:hAnsi="Times New Roman" w:cs="Times New Roman"/>
          <w:sz w:val="32"/>
          <w:szCs w:val="32"/>
          <w:lang w:val="en-US" w:eastAsia="zh-CN"/>
        </w:rPr>
        <w:t>市区河渠社会化养护</w:t>
      </w:r>
      <w:r>
        <w:rPr>
          <w:rFonts w:hint="default" w:ascii="Times New Roman" w:hAnsi="Times New Roman" w:eastAsia="仿宋_GB2312" w:cs="Times New Roman"/>
          <w:kern w:val="0"/>
          <w:sz w:val="32"/>
          <w:szCs w:val="32"/>
        </w:rPr>
        <w:t>项目</w:t>
      </w:r>
      <w:r>
        <w:rPr>
          <w:rFonts w:hint="default" w:ascii="Times New Roman" w:hAnsi="Times New Roman" w:cs="Times New Roman"/>
          <w:sz w:val="32"/>
          <w:szCs w:val="32"/>
          <w:lang w:val="zh-TW" w:eastAsia="zh-TW"/>
        </w:rPr>
        <w:t>进行问卷调查，调查问卷范围：</w:t>
      </w:r>
      <w:r>
        <w:rPr>
          <w:rFonts w:hint="default" w:ascii="Times New Roman" w:hAnsi="Times New Roman" w:cs="Times New Roman"/>
          <w:sz w:val="32"/>
          <w:szCs w:val="32"/>
          <w:lang w:val="en-US" w:eastAsia="zh-CN"/>
        </w:rPr>
        <w:t>市民</w:t>
      </w:r>
      <w:r>
        <w:rPr>
          <w:rFonts w:hint="default" w:ascii="Times New Roman" w:hAnsi="Times New Roman" w:cs="Times New Roman"/>
          <w:sz w:val="32"/>
          <w:szCs w:val="32"/>
          <w:lang w:val="zh-TW" w:eastAsia="zh-TW"/>
        </w:rPr>
        <w:t>。问卷发放</w:t>
      </w:r>
      <w:r>
        <w:rPr>
          <w:rFonts w:hint="default" w:ascii="Times New Roman" w:hAnsi="Times New Roman" w:cs="Times New Roman"/>
          <w:sz w:val="32"/>
          <w:szCs w:val="32"/>
          <w:lang w:val="en-US" w:eastAsia="zh-CN"/>
        </w:rPr>
        <w:t>80</w:t>
      </w:r>
      <w:r>
        <w:rPr>
          <w:rFonts w:hint="default" w:ascii="Times New Roman" w:hAnsi="Times New Roman" w:cs="Times New Roman"/>
          <w:sz w:val="32"/>
          <w:szCs w:val="32"/>
          <w:lang w:val="zh-TW" w:eastAsia="zh-TW"/>
        </w:rPr>
        <w:t>份，有效回收</w:t>
      </w:r>
      <w:r>
        <w:rPr>
          <w:rFonts w:hint="default" w:ascii="Times New Roman" w:hAnsi="Times New Roman" w:cs="Times New Roman"/>
          <w:sz w:val="32"/>
          <w:szCs w:val="32"/>
          <w:lang w:val="en-US" w:eastAsia="zh-CN"/>
        </w:rPr>
        <w:t>80</w:t>
      </w:r>
      <w:r>
        <w:rPr>
          <w:rFonts w:hint="default" w:ascii="Times New Roman" w:hAnsi="Times New Roman" w:cs="Times New Roman"/>
          <w:sz w:val="32"/>
          <w:szCs w:val="32"/>
          <w:lang w:val="zh-TW" w:eastAsia="zh-TW"/>
        </w:rPr>
        <w:t>份，回收率</w:t>
      </w:r>
      <w:r>
        <w:rPr>
          <w:rFonts w:hint="default" w:ascii="Times New Roman" w:hAnsi="Times New Roman" w:cs="Times New Roman"/>
          <w:sz w:val="32"/>
          <w:szCs w:val="32"/>
        </w:rPr>
        <w:t>100%</w:t>
      </w:r>
      <w:r>
        <w:rPr>
          <w:rFonts w:hint="default" w:ascii="Times New Roman" w:hAnsi="Times New Roman" w:cs="Times New Roman"/>
          <w:sz w:val="32"/>
          <w:szCs w:val="32"/>
          <w:lang w:val="zh-TW" w:eastAsia="zh-TW"/>
        </w:rPr>
        <w:t>。</w:t>
      </w:r>
      <w:r>
        <w:rPr>
          <w:rFonts w:hint="default" w:ascii="Times New Roman" w:hAnsi="Times New Roman" w:cs="Times New Roman"/>
          <w:sz w:val="32"/>
          <w:szCs w:val="32"/>
        </w:rPr>
        <w:t>综合</w:t>
      </w:r>
      <w:r>
        <w:rPr>
          <w:rFonts w:hint="default" w:ascii="Times New Roman" w:hAnsi="Times New Roman" w:cs="Times New Roman"/>
          <w:sz w:val="32"/>
          <w:szCs w:val="32"/>
          <w:lang w:val="zh-TW" w:eastAsia="zh-TW"/>
        </w:rPr>
        <w:t>满意度为</w:t>
      </w:r>
      <w:r>
        <w:rPr>
          <w:rFonts w:hint="default" w:ascii="Times New Roman" w:hAnsi="Times New Roman" w:cs="Times New Roman"/>
          <w:sz w:val="32"/>
          <w:szCs w:val="32"/>
          <w:lang w:val="en-US" w:eastAsia="zh-CN"/>
        </w:rPr>
        <w:t>85</w:t>
      </w:r>
      <w:r>
        <w:rPr>
          <w:rFonts w:hint="default" w:ascii="Times New Roman" w:hAnsi="Times New Roman" w:cs="Times New Roman"/>
          <w:sz w:val="32"/>
          <w:szCs w:val="32"/>
        </w:rPr>
        <w:t>%</w:t>
      </w:r>
      <w:r>
        <w:rPr>
          <w:rFonts w:hint="default" w:ascii="Times New Roman" w:hAnsi="Times New Roman" w:cs="Times New Roman"/>
          <w:sz w:val="32"/>
          <w:szCs w:val="32"/>
          <w:lang w:val="zh-TW" w:eastAsia="zh-TW"/>
        </w:rPr>
        <w:t>。</w:t>
      </w:r>
    </w:p>
    <w:p>
      <w:pPr>
        <w:keepNext w:val="0"/>
        <w:keepLines w:val="0"/>
        <w:pageBreakBefore w:val="0"/>
        <w:widowControl/>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cs="Times New Roman"/>
          <w:sz w:val="32"/>
          <w:szCs w:val="32"/>
          <w:lang w:val="zh-TW"/>
        </w:rPr>
      </w:pPr>
      <w:r>
        <w:rPr>
          <w:rFonts w:hint="default" w:ascii="Times New Roman" w:hAnsi="Times New Roman" w:cs="Times New Roman"/>
          <w:sz w:val="32"/>
          <w:szCs w:val="32"/>
          <w:lang w:val="zh-TW" w:eastAsia="zh-TW"/>
        </w:rPr>
        <w:t>以下就调查问卷统计情况</w:t>
      </w:r>
      <w:r>
        <w:rPr>
          <w:rFonts w:hint="default" w:ascii="Times New Roman" w:hAnsi="Times New Roman" w:cs="Times New Roman"/>
          <w:sz w:val="32"/>
          <w:szCs w:val="32"/>
          <w:lang w:val="zh-TW" w:eastAsia="zh-CN"/>
        </w:rPr>
        <w:t>作</w:t>
      </w:r>
      <w:r>
        <w:rPr>
          <w:rFonts w:hint="default" w:ascii="Times New Roman" w:hAnsi="Times New Roman" w:cs="Times New Roman"/>
          <w:sz w:val="32"/>
          <w:szCs w:val="32"/>
          <w:lang w:val="zh-TW" w:eastAsia="zh-TW"/>
        </w:rPr>
        <w:t>扼要分析：</w:t>
      </w:r>
    </w:p>
    <w:p>
      <w:pPr>
        <w:widowControl w:val="0"/>
        <w:ind w:firstLine="640"/>
        <w:rPr>
          <w:rFonts w:hint="default" w:ascii="Times New Roman" w:hAnsi="Times New Roman" w:eastAsia="仿宋_GB2312" w:cs="Times New Roman"/>
          <w:b/>
          <w:bCs/>
          <w:kern w:val="2"/>
          <w:szCs w:val="24"/>
          <w:lang w:val="en-US" w:eastAsia="zh-CN"/>
        </w:rPr>
      </w:pPr>
      <w:r>
        <w:rPr>
          <w:rFonts w:hint="default" w:ascii="Times New Roman" w:hAnsi="Times New Roman" w:cs="Times New Roman"/>
          <w:b/>
          <w:bCs/>
          <w:kern w:val="2"/>
          <w:szCs w:val="24"/>
          <w:lang w:val="en-US" w:eastAsia="zh-CN"/>
        </w:rPr>
        <w:t>市民满意度问卷</w:t>
      </w:r>
    </w:p>
    <w:p>
      <w:pPr>
        <w:widowControl w:val="0"/>
        <w:ind w:firstLine="640"/>
        <w:rPr>
          <w:rFonts w:hint="default" w:ascii="Times New Roman" w:hAnsi="Times New Roman" w:cs="Times New Roman"/>
          <w:kern w:val="2"/>
          <w:szCs w:val="24"/>
        </w:rPr>
      </w:pPr>
      <w:r>
        <w:rPr>
          <w:rFonts w:hint="default" w:ascii="Times New Roman" w:hAnsi="Times New Roman" w:cs="Times New Roman"/>
          <w:kern w:val="2"/>
          <w:szCs w:val="24"/>
        </w:rPr>
        <w:t>一、基本问题</w:t>
      </w:r>
    </w:p>
    <w:p>
      <w:pPr>
        <w:widowControl w:val="0"/>
        <w:ind w:firstLine="640"/>
        <w:rPr>
          <w:rFonts w:hint="default" w:ascii="Times New Roman" w:hAnsi="Times New Roman" w:cs="Times New Roman"/>
          <w:kern w:val="2"/>
          <w:szCs w:val="28"/>
          <w:lang w:bidi="zh-CN"/>
        </w:rPr>
      </w:pPr>
      <w:r>
        <w:rPr>
          <w:rFonts w:hint="default" w:ascii="Times New Roman" w:hAnsi="Times New Roman" w:cs="Times New Roman"/>
          <w:kern w:val="2"/>
          <w:szCs w:val="28"/>
          <w:lang w:val="en-US" w:bidi="zh-CN"/>
        </w:rPr>
        <w:t>1</w:t>
      </w:r>
      <w:r>
        <w:rPr>
          <w:rFonts w:hint="default" w:ascii="Times New Roman" w:hAnsi="Times New Roman" w:cs="Times New Roman"/>
          <w:kern w:val="2"/>
          <w:szCs w:val="28"/>
          <w:lang w:bidi="zh-CN"/>
        </w:rPr>
        <w:t>.您是否为</w:t>
      </w:r>
      <w:r>
        <w:rPr>
          <w:rFonts w:hint="default" w:ascii="Times New Roman" w:hAnsi="Times New Roman" w:cs="Times New Roman"/>
          <w:kern w:val="2"/>
          <w:szCs w:val="28"/>
          <w:lang w:val="en-US" w:bidi="zh-CN"/>
        </w:rPr>
        <w:t>市区河渠养护路段</w:t>
      </w:r>
      <w:r>
        <w:rPr>
          <w:rFonts w:hint="default" w:ascii="Times New Roman" w:hAnsi="Times New Roman" w:cs="Times New Roman"/>
          <w:kern w:val="2"/>
          <w:szCs w:val="28"/>
          <w:lang w:bidi="zh-CN"/>
        </w:rPr>
        <w:t>附近居民？</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A.是</w:t>
      </w:r>
      <w:r>
        <w:rPr>
          <w:rFonts w:hint="default" w:ascii="Times New Roman" w:hAnsi="Times New Roman" w:cs="Times New Roman"/>
          <w:kern w:val="2"/>
          <w:sz w:val="28"/>
          <w:szCs w:val="24"/>
          <w:lang w:val="en-US" w:bidi="zh-CN"/>
        </w:rPr>
        <w:t xml:space="preserve">              </w:t>
      </w:r>
      <w:r>
        <w:rPr>
          <w:rFonts w:hint="default" w:ascii="Times New Roman" w:hAnsi="Times New Roman" w:cs="Times New Roman"/>
          <w:kern w:val="2"/>
          <w:sz w:val="28"/>
          <w:szCs w:val="24"/>
          <w:lang w:bidi="zh-CN"/>
        </w:rPr>
        <w:t xml:space="preserve">   B.否</w:t>
      </w:r>
    </w:p>
    <w:p>
      <w:pPr>
        <w:spacing w:line="276" w:lineRule="auto"/>
        <w:ind w:firstLine="640" w:firstLineChars="200"/>
        <w:jc w:val="both"/>
        <w:rPr>
          <w:rFonts w:hint="default" w:ascii="Times New Roman" w:hAnsi="Times New Roman" w:eastAsia="宋体" w:cs="Times New Roman"/>
          <w:sz w:val="20"/>
          <w:szCs w:val="20"/>
          <w:lang w:val="en-US" w:eastAsia="en-US" w:bidi="ar-SA"/>
        </w:rPr>
      </w:pPr>
      <w:r>
        <w:rPr>
          <w:rFonts w:hint="default" w:ascii="Times New Roman" w:hAnsi="Times New Roman" w:eastAsia="仿宋_GB2312" w:cs="Times New Roman"/>
          <w:kern w:val="2"/>
          <w:sz w:val="32"/>
          <w:szCs w:val="28"/>
          <w:lang w:val="zh-TW" w:eastAsia="zh-TW" w:bidi="zh-CN"/>
        </w:rPr>
        <w:t>对于本次问卷调查</w:t>
      </w:r>
      <w:r>
        <w:rPr>
          <w:rFonts w:hint="default" w:ascii="Times New Roman" w:hAnsi="Times New Roman" w:eastAsia="仿宋_GB2312" w:cs="Times New Roman"/>
          <w:kern w:val="2"/>
          <w:sz w:val="32"/>
          <w:szCs w:val="28"/>
          <w:lang w:val="en-US" w:eastAsia="zh-TW" w:bidi="zh-CN"/>
        </w:rPr>
        <w:t>80</w:t>
      </w:r>
      <w:r>
        <w:rPr>
          <w:rFonts w:hint="default" w:ascii="Times New Roman" w:hAnsi="Times New Roman" w:eastAsia="仿宋_GB2312" w:cs="Times New Roman"/>
          <w:kern w:val="2"/>
          <w:sz w:val="32"/>
          <w:szCs w:val="28"/>
          <w:lang w:val="zh-TW" w:eastAsia="zh-CN" w:bidi="zh-CN"/>
        </w:rPr>
        <w:t>份问卷中，其中</w:t>
      </w:r>
      <w:r>
        <w:rPr>
          <w:rFonts w:hint="default" w:ascii="Times New Roman" w:hAnsi="Times New Roman" w:eastAsia="仿宋_GB2312" w:cs="Times New Roman"/>
          <w:kern w:val="2"/>
          <w:sz w:val="32"/>
          <w:szCs w:val="28"/>
          <w:lang w:val="en-US" w:eastAsia="zh-CN" w:bidi="zh-CN"/>
        </w:rPr>
        <w:t>80</w:t>
      </w:r>
      <w:r>
        <w:rPr>
          <w:rFonts w:hint="default" w:ascii="Times New Roman" w:hAnsi="Times New Roman" w:eastAsia="仿宋_GB2312" w:cs="Times New Roman"/>
          <w:kern w:val="2"/>
          <w:sz w:val="32"/>
          <w:szCs w:val="28"/>
          <w:lang w:val="zh-TW" w:eastAsia="zh-CN" w:bidi="zh-CN"/>
        </w:rPr>
        <w:t>人选择</w:t>
      </w:r>
      <w:r>
        <w:rPr>
          <w:rFonts w:hint="default" w:ascii="Times New Roman" w:hAnsi="Times New Roman" w:eastAsia="仿宋_GB2312" w:cs="Times New Roman"/>
          <w:kern w:val="2"/>
          <w:sz w:val="32"/>
          <w:szCs w:val="28"/>
          <w:lang w:val="en-US" w:eastAsia="zh-CN" w:bidi="zh-CN"/>
        </w:rPr>
        <w:t>A</w:t>
      </w:r>
      <w:r>
        <w:rPr>
          <w:rFonts w:hint="default" w:ascii="Times New Roman" w:hAnsi="Times New Roman" w:eastAsia="仿宋_GB2312" w:cs="Times New Roman"/>
          <w:kern w:val="2"/>
          <w:sz w:val="32"/>
          <w:szCs w:val="28"/>
          <w:lang w:val="zh-TW" w:eastAsia="zh-CN" w:bidi="zh-CN"/>
        </w:rPr>
        <w:t>，占比</w:t>
      </w:r>
      <w:r>
        <w:rPr>
          <w:rFonts w:hint="default" w:ascii="Times New Roman" w:hAnsi="Times New Roman" w:eastAsia="仿宋_GB2312" w:cs="Times New Roman"/>
          <w:kern w:val="2"/>
          <w:sz w:val="32"/>
          <w:szCs w:val="28"/>
          <w:lang w:val="en-US" w:eastAsia="zh-CN" w:bidi="zh-CN"/>
        </w:rPr>
        <w:t>100</w:t>
      </w:r>
      <w:r>
        <w:rPr>
          <w:rFonts w:hint="default" w:ascii="Times New Roman" w:hAnsi="Times New Roman" w:eastAsia="仿宋_GB2312" w:cs="Times New Roman"/>
          <w:kern w:val="2"/>
          <w:sz w:val="32"/>
          <w:szCs w:val="28"/>
          <w:lang w:val="zh-TW" w:eastAsia="zh-CN" w:bidi="zh-CN"/>
        </w:rPr>
        <w:t>%</w:t>
      </w:r>
      <w:r>
        <w:rPr>
          <w:rFonts w:hint="default" w:ascii="Times New Roman" w:hAnsi="Times New Roman" w:eastAsia="仿宋_GB2312" w:cs="Times New Roman"/>
          <w:kern w:val="2"/>
          <w:sz w:val="32"/>
          <w:szCs w:val="28"/>
          <w:lang w:val="en-US" w:eastAsia="zh-CN" w:bidi="zh-CN"/>
        </w:rPr>
        <w:t>。</w:t>
      </w:r>
    </w:p>
    <w:p>
      <w:pPr>
        <w:widowControl w:val="0"/>
        <w:ind w:firstLine="640"/>
        <w:rPr>
          <w:rFonts w:hint="default" w:ascii="Times New Roman" w:hAnsi="Times New Roman" w:cs="Times New Roman"/>
          <w:kern w:val="2"/>
          <w:szCs w:val="28"/>
          <w:lang w:bidi="zh-CN"/>
        </w:rPr>
      </w:pPr>
      <w:r>
        <w:rPr>
          <w:rFonts w:hint="default" w:ascii="Times New Roman" w:hAnsi="Times New Roman" w:cs="Times New Roman"/>
          <w:kern w:val="2"/>
          <w:szCs w:val="28"/>
          <w:lang w:val="en-US" w:bidi="zh-CN"/>
        </w:rPr>
        <w:t>2</w:t>
      </w:r>
      <w:r>
        <w:rPr>
          <w:rFonts w:hint="default" w:ascii="Times New Roman" w:hAnsi="Times New Roman" w:cs="Times New Roman"/>
          <w:kern w:val="2"/>
          <w:szCs w:val="28"/>
          <w:lang w:bidi="zh-CN"/>
        </w:rPr>
        <w:t>.您是否看到过工作人员对</w:t>
      </w:r>
      <w:r>
        <w:rPr>
          <w:rFonts w:hint="default" w:ascii="Times New Roman" w:hAnsi="Times New Roman" w:cs="Times New Roman"/>
          <w:kern w:val="2"/>
          <w:szCs w:val="28"/>
          <w:lang w:val="en-US" w:bidi="zh-CN"/>
        </w:rPr>
        <w:t>市区河渠</w:t>
      </w:r>
      <w:r>
        <w:rPr>
          <w:rFonts w:hint="default" w:ascii="Times New Roman" w:hAnsi="Times New Roman" w:cs="Times New Roman"/>
          <w:kern w:val="2"/>
          <w:szCs w:val="28"/>
          <w:lang w:bidi="zh-CN"/>
        </w:rPr>
        <w:t>进行</w:t>
      </w:r>
      <w:r>
        <w:rPr>
          <w:rFonts w:hint="default" w:ascii="Times New Roman" w:hAnsi="Times New Roman" w:cs="Times New Roman"/>
          <w:kern w:val="2"/>
          <w:szCs w:val="28"/>
          <w:lang w:val="en-US" w:bidi="zh-CN"/>
        </w:rPr>
        <w:t>养护</w:t>
      </w:r>
      <w:r>
        <w:rPr>
          <w:rFonts w:hint="default" w:ascii="Times New Roman" w:hAnsi="Times New Roman" w:cs="Times New Roman"/>
          <w:kern w:val="2"/>
          <w:szCs w:val="28"/>
          <w:lang w:bidi="zh-CN"/>
        </w:rPr>
        <w:t>？</w:t>
      </w:r>
    </w:p>
    <w:p>
      <w:pPr>
        <w:spacing w:line="560" w:lineRule="exact"/>
        <w:ind w:firstLine="840" w:firstLineChars="300"/>
        <w:jc w:val="both"/>
        <w:rPr>
          <w:rFonts w:hint="default" w:ascii="Times New Roman" w:hAnsi="Times New Roman" w:eastAsia="仿宋_GB2312" w:cs="Times New Roman"/>
          <w:kern w:val="2"/>
          <w:sz w:val="28"/>
          <w:szCs w:val="24"/>
          <w:lang w:val="en-US" w:eastAsia="zh-CN" w:bidi="zh-CN"/>
        </w:rPr>
      </w:pPr>
      <w:r>
        <w:rPr>
          <w:rFonts w:hint="default" w:ascii="Times New Roman" w:hAnsi="Times New Roman" w:eastAsia="仿宋_GB2312" w:cs="Times New Roman"/>
          <w:kern w:val="2"/>
          <w:sz w:val="28"/>
          <w:szCs w:val="24"/>
          <w:lang w:val="en-US" w:eastAsia="zh-CN" w:bidi="zh-CN"/>
        </w:rPr>
        <w:t>A.是                 B.否</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kern w:val="2"/>
          <w:sz w:val="28"/>
          <w:szCs w:val="24"/>
          <w:lang w:val="en-US" w:eastAsia="zh-CN" w:bidi="zh-CN"/>
        </w:rPr>
      </w:pPr>
      <w:r>
        <w:rPr>
          <w:rFonts w:hint="default" w:ascii="Times New Roman" w:hAnsi="Times New Roman" w:eastAsia="仿宋_GB2312" w:cs="Times New Roman"/>
          <w:kern w:val="2"/>
          <w:sz w:val="32"/>
          <w:szCs w:val="28"/>
          <w:lang w:val="zh-TW" w:eastAsia="zh-TW" w:bidi="zh-CN"/>
        </w:rPr>
        <w:t>对于本次问卷调查</w:t>
      </w:r>
      <w:r>
        <w:rPr>
          <w:rFonts w:hint="default" w:ascii="Times New Roman" w:hAnsi="Times New Roman" w:eastAsia="仿宋_GB2312" w:cs="Times New Roman"/>
          <w:kern w:val="2"/>
          <w:sz w:val="32"/>
          <w:szCs w:val="28"/>
          <w:lang w:val="en-US" w:eastAsia="zh-TW" w:bidi="zh-CN"/>
        </w:rPr>
        <w:t>80</w:t>
      </w:r>
      <w:r>
        <w:rPr>
          <w:rFonts w:hint="default" w:ascii="Times New Roman" w:hAnsi="Times New Roman" w:eastAsia="仿宋_GB2312" w:cs="Times New Roman"/>
          <w:kern w:val="2"/>
          <w:sz w:val="32"/>
          <w:szCs w:val="28"/>
          <w:lang w:val="zh-TW" w:eastAsia="zh-CN" w:bidi="zh-CN"/>
        </w:rPr>
        <w:t>份问卷中，其中</w:t>
      </w:r>
      <w:r>
        <w:rPr>
          <w:rFonts w:hint="default" w:ascii="Times New Roman" w:hAnsi="Times New Roman" w:eastAsia="仿宋_GB2312" w:cs="Times New Roman"/>
          <w:kern w:val="2"/>
          <w:sz w:val="32"/>
          <w:szCs w:val="28"/>
          <w:lang w:val="en-US" w:eastAsia="zh-CN" w:bidi="zh-CN"/>
        </w:rPr>
        <w:t>80</w:t>
      </w:r>
      <w:r>
        <w:rPr>
          <w:rFonts w:hint="default" w:ascii="Times New Roman" w:hAnsi="Times New Roman" w:eastAsia="仿宋_GB2312" w:cs="Times New Roman"/>
          <w:kern w:val="2"/>
          <w:sz w:val="32"/>
          <w:szCs w:val="28"/>
          <w:lang w:val="zh-TW" w:eastAsia="zh-CN" w:bidi="zh-CN"/>
        </w:rPr>
        <w:t>人选择</w:t>
      </w:r>
      <w:r>
        <w:rPr>
          <w:rFonts w:hint="default" w:ascii="Times New Roman" w:hAnsi="Times New Roman" w:eastAsia="仿宋_GB2312" w:cs="Times New Roman"/>
          <w:kern w:val="2"/>
          <w:sz w:val="32"/>
          <w:szCs w:val="28"/>
          <w:lang w:val="en-US" w:eastAsia="zh-CN" w:bidi="zh-CN"/>
        </w:rPr>
        <w:t>A</w:t>
      </w:r>
      <w:r>
        <w:rPr>
          <w:rFonts w:hint="default" w:ascii="Times New Roman" w:hAnsi="Times New Roman" w:eastAsia="仿宋_GB2312" w:cs="Times New Roman"/>
          <w:kern w:val="2"/>
          <w:sz w:val="32"/>
          <w:szCs w:val="28"/>
          <w:lang w:val="zh-TW" w:eastAsia="zh-CN" w:bidi="zh-CN"/>
        </w:rPr>
        <w:t>，占比</w:t>
      </w:r>
      <w:r>
        <w:rPr>
          <w:rFonts w:hint="default" w:ascii="Times New Roman" w:hAnsi="Times New Roman" w:eastAsia="仿宋_GB2312" w:cs="Times New Roman"/>
          <w:kern w:val="2"/>
          <w:sz w:val="32"/>
          <w:szCs w:val="28"/>
          <w:lang w:val="en-US" w:eastAsia="zh-CN" w:bidi="zh-CN"/>
        </w:rPr>
        <w:t>100</w:t>
      </w:r>
      <w:r>
        <w:rPr>
          <w:rFonts w:hint="default" w:ascii="Times New Roman" w:hAnsi="Times New Roman" w:eastAsia="仿宋_GB2312" w:cs="Times New Roman"/>
          <w:kern w:val="2"/>
          <w:sz w:val="32"/>
          <w:szCs w:val="28"/>
          <w:lang w:val="zh-TW" w:eastAsia="zh-CN" w:bidi="zh-CN"/>
        </w:rPr>
        <w:t>%</w:t>
      </w:r>
      <w:r>
        <w:rPr>
          <w:rFonts w:hint="default" w:ascii="Times New Roman" w:hAnsi="Times New Roman" w:eastAsia="仿宋_GB2312" w:cs="Times New Roman"/>
          <w:kern w:val="2"/>
          <w:sz w:val="32"/>
          <w:szCs w:val="28"/>
          <w:lang w:val="en-US" w:eastAsia="zh-CN" w:bidi="zh-CN"/>
        </w:rPr>
        <w:t>。</w:t>
      </w:r>
    </w:p>
    <w:p>
      <w:pPr>
        <w:spacing w:line="560" w:lineRule="exact"/>
        <w:ind w:firstLine="640" w:firstLineChars="200"/>
        <w:jc w:val="both"/>
        <w:rPr>
          <w:rFonts w:hint="default" w:ascii="Times New Roman" w:hAnsi="Times New Roman" w:eastAsia="仿宋_GB2312" w:cs="Times New Roman"/>
          <w:sz w:val="32"/>
          <w:szCs w:val="28"/>
          <w:lang w:val="en-US" w:eastAsia="zh-CN" w:bidi="zh-CN"/>
        </w:rPr>
      </w:pPr>
      <w:r>
        <w:rPr>
          <w:rFonts w:hint="default" w:ascii="Times New Roman" w:hAnsi="Times New Roman" w:eastAsia="仿宋_GB2312" w:cs="Times New Roman"/>
          <w:sz w:val="32"/>
          <w:szCs w:val="28"/>
          <w:lang w:val="en-US" w:eastAsia="zh-CN" w:bidi="zh-CN"/>
        </w:rPr>
        <w:t>二、满意度问题</w:t>
      </w:r>
    </w:p>
    <w:p>
      <w:pPr>
        <w:spacing w:line="560" w:lineRule="exact"/>
        <w:ind w:firstLine="640" w:firstLineChars="200"/>
        <w:jc w:val="both"/>
        <w:rPr>
          <w:rFonts w:hint="default" w:ascii="Times New Roman" w:hAnsi="Times New Roman" w:eastAsia="仿宋_GB2312" w:cs="Times New Roman"/>
          <w:sz w:val="32"/>
          <w:szCs w:val="28"/>
          <w:lang w:val="en-US" w:eastAsia="zh-CN" w:bidi="zh-CN"/>
        </w:rPr>
      </w:pPr>
      <w:r>
        <w:rPr>
          <w:rFonts w:hint="default" w:ascii="Times New Roman" w:hAnsi="Times New Roman" w:eastAsia="仿宋_GB2312" w:cs="Times New Roman"/>
          <w:sz w:val="32"/>
          <w:szCs w:val="28"/>
          <w:lang w:val="en-US" w:eastAsia="zh-CN" w:bidi="zh-CN"/>
        </w:rPr>
        <w:t>1.您对市区河渠养护水面环境的满意程度？</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A.非常满意 B.比较满意 C.一般 D.不太满意 E.非常不满意</w:t>
      </w:r>
    </w:p>
    <w:tbl>
      <w:tblPr>
        <w:tblStyle w:val="37"/>
        <w:tblW w:w="4997" w:type="pct"/>
        <w:tblInd w:w="0" w:type="dxa"/>
        <w:tblLayout w:type="autofit"/>
        <w:tblCellMar>
          <w:top w:w="0" w:type="dxa"/>
          <w:left w:w="108" w:type="dxa"/>
          <w:bottom w:w="0" w:type="dxa"/>
          <w:right w:w="108" w:type="dxa"/>
        </w:tblCellMar>
      </w:tblPr>
      <w:tblGrid>
        <w:gridCol w:w="1459"/>
        <w:gridCol w:w="657"/>
        <w:gridCol w:w="1305"/>
        <w:gridCol w:w="1365"/>
        <w:gridCol w:w="1237"/>
        <w:gridCol w:w="1204"/>
        <w:gridCol w:w="1488"/>
      </w:tblGrid>
      <w:tr>
        <w:tblPrEx>
          <w:tblCellMar>
            <w:top w:w="0" w:type="dxa"/>
            <w:left w:w="108" w:type="dxa"/>
            <w:bottom w:w="0" w:type="dxa"/>
            <w:right w:w="108" w:type="dxa"/>
          </w:tblCellMar>
        </w:tblPrEx>
        <w:trPr>
          <w:trHeight w:val="308" w:hRule="atLeast"/>
        </w:trPr>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综合满意度</w:t>
            </w:r>
          </w:p>
        </w:tc>
        <w:tc>
          <w:tcPr>
            <w:tcW w:w="6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合计</w:t>
            </w:r>
          </w:p>
        </w:tc>
        <w:tc>
          <w:tcPr>
            <w:tcW w:w="130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100%</w:t>
            </w:r>
          </w:p>
        </w:tc>
        <w:tc>
          <w:tcPr>
            <w:tcW w:w="136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75%</w:t>
            </w:r>
          </w:p>
        </w:tc>
        <w:tc>
          <w:tcPr>
            <w:tcW w:w="1237"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50%</w:t>
            </w:r>
          </w:p>
        </w:tc>
        <w:tc>
          <w:tcPr>
            <w:tcW w:w="1204"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25%</w:t>
            </w:r>
          </w:p>
        </w:tc>
        <w:tc>
          <w:tcPr>
            <w:tcW w:w="1488"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0%</w:t>
            </w:r>
          </w:p>
        </w:tc>
      </w:tr>
      <w:tr>
        <w:tblPrEx>
          <w:tblCellMar>
            <w:top w:w="0" w:type="dxa"/>
            <w:left w:w="108" w:type="dxa"/>
            <w:bottom w:w="0" w:type="dxa"/>
            <w:right w:w="108" w:type="dxa"/>
          </w:tblCellMar>
        </w:tblPrEx>
        <w:trPr>
          <w:trHeight w:val="290" w:hRule="atLeast"/>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非常满意</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比较满意</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基本满意</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不太满意</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非常不满意</w:t>
            </w:r>
          </w:p>
        </w:tc>
      </w:tr>
      <w:tr>
        <w:tblPrEx>
          <w:tblCellMar>
            <w:top w:w="0" w:type="dxa"/>
            <w:left w:w="108" w:type="dxa"/>
            <w:bottom w:w="0" w:type="dxa"/>
            <w:right w:w="108" w:type="dxa"/>
          </w:tblCellMar>
        </w:tblPrEx>
        <w:trPr>
          <w:trHeight w:val="308" w:hRule="atLeast"/>
        </w:trPr>
        <w:tc>
          <w:tcPr>
            <w:tcW w:w="145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84.69</w:t>
            </w:r>
            <w:r>
              <w:rPr>
                <w:rFonts w:hint="default" w:ascii="Times New Roman" w:hAnsi="Times New Roman" w:cs="Times New Roman"/>
                <w:color w:val="000000"/>
                <w:sz w:val="22"/>
                <w:lang w:bidi="ar"/>
              </w:rPr>
              <w:t>%</w:t>
            </w:r>
          </w:p>
        </w:tc>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w:t>
            </w:r>
            <w:r>
              <w:rPr>
                <w:rFonts w:hint="default" w:ascii="Times New Roman" w:hAnsi="Times New Roman" w:cs="Times New Roman"/>
                <w:color w:val="000000"/>
                <w:sz w:val="22"/>
                <w:lang w:bidi="ar"/>
              </w:rPr>
              <w:t>0</w:t>
            </w: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48</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17</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13</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2</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r>
      <w:tr>
        <w:tblPrEx>
          <w:tblCellMar>
            <w:top w:w="0" w:type="dxa"/>
            <w:left w:w="108" w:type="dxa"/>
            <w:bottom w:w="0" w:type="dxa"/>
            <w:right w:w="108" w:type="dxa"/>
          </w:tblCellMar>
        </w:tblPrEx>
        <w:trPr>
          <w:trHeight w:val="308" w:hRule="atLeast"/>
        </w:trPr>
        <w:tc>
          <w:tcPr>
            <w:tcW w:w="1459"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60.00%</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21.25</w:t>
            </w:r>
            <w:r>
              <w:rPr>
                <w:rFonts w:hint="default" w:ascii="Times New Roman" w:hAnsi="Times New Roman" w:cs="Times New Roman"/>
                <w:color w:val="000000"/>
                <w:sz w:val="22"/>
                <w:lang w:bidi="ar"/>
              </w:rPr>
              <w:t>%</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16.25</w:t>
            </w:r>
            <w:r>
              <w:rPr>
                <w:rFonts w:hint="default" w:ascii="Times New Roman" w:hAnsi="Times New Roman" w:cs="Times New Roman"/>
                <w:color w:val="000000"/>
                <w:sz w:val="22"/>
                <w:lang w:bidi="ar"/>
              </w:rPr>
              <w:t>%</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2.50</w:t>
            </w:r>
            <w:r>
              <w:rPr>
                <w:rFonts w:hint="default" w:ascii="Times New Roman" w:hAnsi="Times New Roman" w:cs="Times New Roman"/>
                <w:color w:val="000000"/>
                <w:sz w:val="22"/>
                <w:lang w:bidi="ar"/>
              </w:rPr>
              <w:t>%</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r>
    </w:tbl>
    <w:p>
      <w:pPr>
        <w:spacing w:line="560" w:lineRule="exact"/>
        <w:ind w:firstLine="640" w:firstLineChars="200"/>
        <w:jc w:val="both"/>
        <w:rPr>
          <w:rFonts w:hint="default" w:ascii="Times New Roman" w:hAnsi="Times New Roman" w:eastAsia="仿宋_GB2312" w:cs="Times New Roman"/>
          <w:sz w:val="32"/>
          <w:szCs w:val="28"/>
          <w:lang w:val="en-US" w:eastAsia="zh-CN" w:bidi="zh-CN"/>
        </w:rPr>
      </w:pPr>
      <w:r>
        <w:rPr>
          <w:rFonts w:hint="default" w:ascii="Times New Roman" w:hAnsi="Times New Roman" w:eastAsia="仿宋_GB2312" w:cs="Times New Roman"/>
          <w:sz w:val="32"/>
          <w:szCs w:val="28"/>
          <w:lang w:val="en-US" w:eastAsia="zh-CN" w:bidi="zh-CN"/>
        </w:rPr>
        <w:t>2.您对市区河渠养护绿地环境的满意程度？</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A.非常满意 B.比较满意 C.一般 D.不太满意 E.非常不满意</w:t>
      </w:r>
    </w:p>
    <w:tbl>
      <w:tblPr>
        <w:tblStyle w:val="37"/>
        <w:tblW w:w="4997" w:type="pct"/>
        <w:tblInd w:w="0" w:type="dxa"/>
        <w:tblLayout w:type="autofit"/>
        <w:tblCellMar>
          <w:top w:w="0" w:type="dxa"/>
          <w:left w:w="108" w:type="dxa"/>
          <w:bottom w:w="0" w:type="dxa"/>
          <w:right w:w="108" w:type="dxa"/>
        </w:tblCellMar>
      </w:tblPr>
      <w:tblGrid>
        <w:gridCol w:w="1459"/>
        <w:gridCol w:w="657"/>
        <w:gridCol w:w="1305"/>
        <w:gridCol w:w="1365"/>
        <w:gridCol w:w="1237"/>
        <w:gridCol w:w="1204"/>
        <w:gridCol w:w="1488"/>
      </w:tblGrid>
      <w:tr>
        <w:tblPrEx>
          <w:tblCellMar>
            <w:top w:w="0" w:type="dxa"/>
            <w:left w:w="108" w:type="dxa"/>
            <w:bottom w:w="0" w:type="dxa"/>
            <w:right w:w="108" w:type="dxa"/>
          </w:tblCellMar>
        </w:tblPrEx>
        <w:trPr>
          <w:trHeight w:val="308" w:hRule="atLeast"/>
        </w:trPr>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综合满意度</w:t>
            </w:r>
          </w:p>
        </w:tc>
        <w:tc>
          <w:tcPr>
            <w:tcW w:w="6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合计</w:t>
            </w:r>
          </w:p>
        </w:tc>
        <w:tc>
          <w:tcPr>
            <w:tcW w:w="130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100%</w:t>
            </w:r>
          </w:p>
        </w:tc>
        <w:tc>
          <w:tcPr>
            <w:tcW w:w="136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75%</w:t>
            </w:r>
          </w:p>
        </w:tc>
        <w:tc>
          <w:tcPr>
            <w:tcW w:w="1237"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50%</w:t>
            </w:r>
          </w:p>
        </w:tc>
        <w:tc>
          <w:tcPr>
            <w:tcW w:w="1204"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25%</w:t>
            </w:r>
          </w:p>
        </w:tc>
        <w:tc>
          <w:tcPr>
            <w:tcW w:w="1488"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0%</w:t>
            </w:r>
          </w:p>
        </w:tc>
      </w:tr>
      <w:tr>
        <w:tblPrEx>
          <w:tblCellMar>
            <w:top w:w="0" w:type="dxa"/>
            <w:left w:w="108" w:type="dxa"/>
            <w:bottom w:w="0" w:type="dxa"/>
            <w:right w:w="108" w:type="dxa"/>
          </w:tblCellMar>
        </w:tblPrEx>
        <w:trPr>
          <w:trHeight w:val="315" w:hRule="atLeast"/>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非常满意</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比较满意</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基本满意</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不太满意</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非常不满意</w:t>
            </w:r>
          </w:p>
        </w:tc>
      </w:tr>
      <w:tr>
        <w:tblPrEx>
          <w:tblCellMar>
            <w:top w:w="0" w:type="dxa"/>
            <w:left w:w="108" w:type="dxa"/>
            <w:bottom w:w="0" w:type="dxa"/>
            <w:right w:w="108" w:type="dxa"/>
          </w:tblCellMar>
        </w:tblPrEx>
        <w:trPr>
          <w:trHeight w:val="308" w:hRule="atLeast"/>
        </w:trPr>
        <w:tc>
          <w:tcPr>
            <w:tcW w:w="145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85.63</w:t>
            </w:r>
            <w:r>
              <w:rPr>
                <w:rFonts w:hint="default" w:ascii="Times New Roman" w:hAnsi="Times New Roman" w:cs="Times New Roman"/>
                <w:color w:val="000000"/>
                <w:sz w:val="22"/>
                <w:lang w:bidi="ar"/>
              </w:rPr>
              <w:t>%</w:t>
            </w:r>
          </w:p>
        </w:tc>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80</w:t>
            </w: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50</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15</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14</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r>
      <w:tr>
        <w:tblPrEx>
          <w:tblCellMar>
            <w:top w:w="0" w:type="dxa"/>
            <w:left w:w="108" w:type="dxa"/>
            <w:bottom w:w="0" w:type="dxa"/>
            <w:right w:w="108" w:type="dxa"/>
          </w:tblCellMar>
        </w:tblPrEx>
        <w:trPr>
          <w:trHeight w:val="308" w:hRule="atLeast"/>
        </w:trPr>
        <w:tc>
          <w:tcPr>
            <w:tcW w:w="1459"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62.50</w:t>
            </w:r>
            <w:r>
              <w:rPr>
                <w:rFonts w:hint="default" w:ascii="Times New Roman" w:hAnsi="Times New Roman" w:cs="Times New Roman"/>
                <w:color w:val="000000"/>
                <w:sz w:val="22"/>
                <w:lang w:bidi="ar"/>
              </w:rPr>
              <w:t>%</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w:t>
            </w:r>
            <w:r>
              <w:rPr>
                <w:rFonts w:hint="default" w:ascii="Times New Roman" w:hAnsi="Times New Roman" w:cs="Times New Roman"/>
                <w:color w:val="000000"/>
                <w:sz w:val="22"/>
                <w:lang w:val="en-US" w:eastAsia="zh-CN" w:bidi="ar"/>
              </w:rPr>
              <w:t>8.75</w:t>
            </w:r>
            <w:r>
              <w:rPr>
                <w:rFonts w:hint="default" w:ascii="Times New Roman" w:hAnsi="Times New Roman" w:cs="Times New Roman"/>
                <w:color w:val="000000"/>
                <w:sz w:val="22"/>
                <w:lang w:bidi="ar"/>
              </w:rPr>
              <w:t>%</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w:t>
            </w:r>
            <w:r>
              <w:rPr>
                <w:rFonts w:hint="default" w:ascii="Times New Roman" w:hAnsi="Times New Roman" w:cs="Times New Roman"/>
                <w:color w:val="000000"/>
                <w:sz w:val="22"/>
                <w:lang w:val="en-US" w:eastAsia="zh-CN" w:bidi="ar"/>
              </w:rPr>
              <w:t>7.50</w:t>
            </w:r>
            <w:r>
              <w:rPr>
                <w:rFonts w:hint="default" w:ascii="Times New Roman" w:hAnsi="Times New Roman" w:cs="Times New Roman"/>
                <w:color w:val="000000"/>
                <w:sz w:val="22"/>
                <w:lang w:bidi="ar"/>
              </w:rPr>
              <w:t>%</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1.25</w:t>
            </w:r>
            <w:r>
              <w:rPr>
                <w:rFonts w:hint="default" w:ascii="Times New Roman" w:hAnsi="Times New Roman" w:cs="Times New Roman"/>
                <w:color w:val="000000"/>
                <w:sz w:val="22"/>
                <w:lang w:bidi="ar"/>
              </w:rPr>
              <w:t>%</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r>
    </w:tbl>
    <w:p>
      <w:pPr>
        <w:spacing w:line="560" w:lineRule="exact"/>
        <w:ind w:firstLine="640" w:firstLineChars="200"/>
        <w:jc w:val="both"/>
        <w:rPr>
          <w:rFonts w:hint="default" w:ascii="Times New Roman" w:hAnsi="Times New Roman" w:eastAsia="仿宋_GB2312" w:cs="Times New Roman"/>
          <w:sz w:val="32"/>
          <w:szCs w:val="28"/>
          <w:lang w:val="en-US" w:eastAsia="zh-CN" w:bidi="zh-CN"/>
        </w:rPr>
      </w:pPr>
      <w:r>
        <w:rPr>
          <w:rFonts w:hint="default" w:ascii="Times New Roman" w:hAnsi="Times New Roman" w:eastAsia="仿宋_GB2312" w:cs="Times New Roman"/>
          <w:sz w:val="32"/>
          <w:szCs w:val="28"/>
          <w:lang w:val="en-US" w:eastAsia="zh-CN" w:bidi="zh-CN"/>
        </w:rPr>
        <w:t>3您对市区河渠养护人员养护河段及时性的满意程度？</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A.非常满意 B.比较满意 C.一般 D.不太满意 E.非常不满意</w:t>
      </w:r>
    </w:p>
    <w:tbl>
      <w:tblPr>
        <w:tblStyle w:val="37"/>
        <w:tblW w:w="4997" w:type="pct"/>
        <w:tblInd w:w="0" w:type="dxa"/>
        <w:tblLayout w:type="autofit"/>
        <w:tblCellMar>
          <w:top w:w="0" w:type="dxa"/>
          <w:left w:w="108" w:type="dxa"/>
          <w:bottom w:w="0" w:type="dxa"/>
          <w:right w:w="108" w:type="dxa"/>
        </w:tblCellMar>
      </w:tblPr>
      <w:tblGrid>
        <w:gridCol w:w="1459"/>
        <w:gridCol w:w="657"/>
        <w:gridCol w:w="1305"/>
        <w:gridCol w:w="1365"/>
        <w:gridCol w:w="1237"/>
        <w:gridCol w:w="1204"/>
        <w:gridCol w:w="1488"/>
      </w:tblGrid>
      <w:tr>
        <w:tblPrEx>
          <w:tblCellMar>
            <w:top w:w="0" w:type="dxa"/>
            <w:left w:w="108" w:type="dxa"/>
            <w:bottom w:w="0" w:type="dxa"/>
            <w:right w:w="108" w:type="dxa"/>
          </w:tblCellMar>
        </w:tblPrEx>
        <w:trPr>
          <w:trHeight w:val="308" w:hRule="atLeast"/>
        </w:trPr>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综合满意度</w:t>
            </w:r>
          </w:p>
        </w:tc>
        <w:tc>
          <w:tcPr>
            <w:tcW w:w="6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合计</w:t>
            </w:r>
          </w:p>
        </w:tc>
        <w:tc>
          <w:tcPr>
            <w:tcW w:w="130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100%</w:t>
            </w:r>
          </w:p>
        </w:tc>
        <w:tc>
          <w:tcPr>
            <w:tcW w:w="136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75%</w:t>
            </w:r>
          </w:p>
        </w:tc>
        <w:tc>
          <w:tcPr>
            <w:tcW w:w="1237"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50%</w:t>
            </w:r>
          </w:p>
        </w:tc>
        <w:tc>
          <w:tcPr>
            <w:tcW w:w="1204"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25%</w:t>
            </w:r>
          </w:p>
        </w:tc>
        <w:tc>
          <w:tcPr>
            <w:tcW w:w="1488"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0%</w:t>
            </w:r>
          </w:p>
        </w:tc>
      </w:tr>
      <w:tr>
        <w:tblPrEx>
          <w:tblCellMar>
            <w:top w:w="0" w:type="dxa"/>
            <w:left w:w="108" w:type="dxa"/>
            <w:bottom w:w="0" w:type="dxa"/>
            <w:right w:w="108" w:type="dxa"/>
          </w:tblCellMar>
        </w:tblPrEx>
        <w:trPr>
          <w:trHeight w:val="315" w:hRule="atLeast"/>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非常满意</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比较满意</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基本满意</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不太满意</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非常不满意</w:t>
            </w:r>
          </w:p>
        </w:tc>
      </w:tr>
      <w:tr>
        <w:tblPrEx>
          <w:tblCellMar>
            <w:top w:w="0" w:type="dxa"/>
            <w:left w:w="108" w:type="dxa"/>
            <w:bottom w:w="0" w:type="dxa"/>
            <w:right w:w="108" w:type="dxa"/>
          </w:tblCellMar>
        </w:tblPrEx>
        <w:trPr>
          <w:trHeight w:val="308" w:hRule="atLeast"/>
        </w:trPr>
        <w:tc>
          <w:tcPr>
            <w:tcW w:w="145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84.06</w:t>
            </w:r>
            <w:r>
              <w:rPr>
                <w:rFonts w:hint="default" w:ascii="Times New Roman" w:hAnsi="Times New Roman" w:cs="Times New Roman"/>
                <w:color w:val="000000"/>
                <w:sz w:val="22"/>
                <w:lang w:bidi="ar"/>
              </w:rPr>
              <w:t>%</w:t>
            </w:r>
          </w:p>
        </w:tc>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80</w:t>
            </w: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51</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11</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14</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4</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r>
      <w:tr>
        <w:tblPrEx>
          <w:tblCellMar>
            <w:top w:w="0" w:type="dxa"/>
            <w:left w:w="108" w:type="dxa"/>
            <w:bottom w:w="0" w:type="dxa"/>
            <w:right w:w="108" w:type="dxa"/>
          </w:tblCellMar>
        </w:tblPrEx>
        <w:trPr>
          <w:trHeight w:val="308" w:hRule="atLeast"/>
        </w:trPr>
        <w:tc>
          <w:tcPr>
            <w:tcW w:w="1459"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63.75</w:t>
            </w:r>
            <w:r>
              <w:rPr>
                <w:rFonts w:hint="default" w:ascii="Times New Roman" w:hAnsi="Times New Roman" w:cs="Times New Roman"/>
                <w:color w:val="000000"/>
                <w:sz w:val="22"/>
                <w:lang w:bidi="ar"/>
              </w:rPr>
              <w:t>%</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13.75</w:t>
            </w:r>
            <w:r>
              <w:rPr>
                <w:rFonts w:hint="default" w:ascii="Times New Roman" w:hAnsi="Times New Roman" w:cs="Times New Roman"/>
                <w:color w:val="000000"/>
                <w:sz w:val="22"/>
                <w:lang w:bidi="ar"/>
              </w:rPr>
              <w:t>%</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17.50</w:t>
            </w:r>
            <w:r>
              <w:rPr>
                <w:rFonts w:hint="default" w:ascii="Times New Roman" w:hAnsi="Times New Roman" w:cs="Times New Roman"/>
                <w:color w:val="000000"/>
                <w:sz w:val="22"/>
                <w:lang w:bidi="ar"/>
              </w:rPr>
              <w:t>%</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5.00</w:t>
            </w:r>
            <w:r>
              <w:rPr>
                <w:rFonts w:hint="default" w:ascii="Times New Roman" w:hAnsi="Times New Roman" w:cs="Times New Roman"/>
                <w:color w:val="000000"/>
                <w:sz w:val="22"/>
                <w:lang w:bidi="ar"/>
              </w:rPr>
              <w:t>%</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r>
    </w:tbl>
    <w:p>
      <w:pPr>
        <w:spacing w:line="560" w:lineRule="exact"/>
        <w:ind w:firstLine="640" w:firstLineChars="200"/>
        <w:jc w:val="both"/>
        <w:rPr>
          <w:rFonts w:hint="default" w:ascii="Times New Roman" w:hAnsi="Times New Roman" w:eastAsia="仿宋_GB2312" w:cs="Times New Roman"/>
          <w:sz w:val="32"/>
          <w:szCs w:val="28"/>
          <w:lang w:val="en-US" w:eastAsia="zh-CN" w:bidi="zh-CN"/>
        </w:rPr>
      </w:pPr>
      <w:r>
        <w:rPr>
          <w:rFonts w:hint="default" w:ascii="Times New Roman" w:hAnsi="Times New Roman" w:eastAsia="仿宋_GB2312" w:cs="Times New Roman"/>
          <w:sz w:val="32"/>
          <w:szCs w:val="28"/>
          <w:lang w:val="en-US" w:eastAsia="zh-CN" w:bidi="zh-CN"/>
        </w:rPr>
        <w:t>4.您对市区河渠养护河段养护时间节点的满意程度？</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A.非常满意 B.比较满意 C.一般 D.不太满意 E.非常不满意</w:t>
      </w:r>
    </w:p>
    <w:tbl>
      <w:tblPr>
        <w:tblStyle w:val="37"/>
        <w:tblW w:w="4997" w:type="pct"/>
        <w:tblInd w:w="0" w:type="dxa"/>
        <w:tblLayout w:type="autofit"/>
        <w:tblCellMar>
          <w:top w:w="0" w:type="dxa"/>
          <w:left w:w="108" w:type="dxa"/>
          <w:bottom w:w="0" w:type="dxa"/>
          <w:right w:w="108" w:type="dxa"/>
        </w:tblCellMar>
      </w:tblPr>
      <w:tblGrid>
        <w:gridCol w:w="1459"/>
        <w:gridCol w:w="657"/>
        <w:gridCol w:w="1305"/>
        <w:gridCol w:w="1365"/>
        <w:gridCol w:w="1237"/>
        <w:gridCol w:w="1204"/>
        <w:gridCol w:w="1488"/>
      </w:tblGrid>
      <w:tr>
        <w:tblPrEx>
          <w:tblCellMar>
            <w:top w:w="0" w:type="dxa"/>
            <w:left w:w="108" w:type="dxa"/>
            <w:bottom w:w="0" w:type="dxa"/>
            <w:right w:w="108" w:type="dxa"/>
          </w:tblCellMar>
        </w:tblPrEx>
        <w:trPr>
          <w:trHeight w:val="308" w:hRule="atLeast"/>
        </w:trPr>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综合满意度</w:t>
            </w:r>
          </w:p>
        </w:tc>
        <w:tc>
          <w:tcPr>
            <w:tcW w:w="6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合计</w:t>
            </w:r>
          </w:p>
        </w:tc>
        <w:tc>
          <w:tcPr>
            <w:tcW w:w="130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100%</w:t>
            </w:r>
          </w:p>
        </w:tc>
        <w:tc>
          <w:tcPr>
            <w:tcW w:w="136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75%</w:t>
            </w:r>
          </w:p>
        </w:tc>
        <w:tc>
          <w:tcPr>
            <w:tcW w:w="1237"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50%</w:t>
            </w:r>
          </w:p>
        </w:tc>
        <w:tc>
          <w:tcPr>
            <w:tcW w:w="1204"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25%</w:t>
            </w:r>
          </w:p>
        </w:tc>
        <w:tc>
          <w:tcPr>
            <w:tcW w:w="1488"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0%</w:t>
            </w:r>
          </w:p>
        </w:tc>
      </w:tr>
      <w:tr>
        <w:tblPrEx>
          <w:tblCellMar>
            <w:top w:w="0" w:type="dxa"/>
            <w:left w:w="108" w:type="dxa"/>
            <w:bottom w:w="0" w:type="dxa"/>
            <w:right w:w="108" w:type="dxa"/>
          </w:tblCellMar>
        </w:tblPrEx>
        <w:trPr>
          <w:trHeight w:val="315" w:hRule="atLeast"/>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非常满意</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比较满意</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基本满意</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不太满意</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非常不满意</w:t>
            </w:r>
          </w:p>
        </w:tc>
      </w:tr>
      <w:tr>
        <w:tblPrEx>
          <w:tblCellMar>
            <w:top w:w="0" w:type="dxa"/>
            <w:left w:w="108" w:type="dxa"/>
            <w:bottom w:w="0" w:type="dxa"/>
            <w:right w:w="108" w:type="dxa"/>
          </w:tblCellMar>
        </w:tblPrEx>
        <w:trPr>
          <w:trHeight w:val="308" w:hRule="atLeast"/>
        </w:trPr>
        <w:tc>
          <w:tcPr>
            <w:tcW w:w="145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84.38</w:t>
            </w:r>
            <w:r>
              <w:rPr>
                <w:rFonts w:hint="default" w:ascii="Times New Roman" w:hAnsi="Times New Roman" w:cs="Times New Roman"/>
                <w:color w:val="000000"/>
                <w:sz w:val="22"/>
                <w:lang w:bidi="ar"/>
              </w:rPr>
              <w:t>%</w:t>
            </w:r>
          </w:p>
        </w:tc>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80</w:t>
            </w: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46</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22</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8</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4</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r>
      <w:tr>
        <w:tblPrEx>
          <w:tblCellMar>
            <w:top w:w="0" w:type="dxa"/>
            <w:left w:w="108" w:type="dxa"/>
            <w:bottom w:w="0" w:type="dxa"/>
            <w:right w:w="108" w:type="dxa"/>
          </w:tblCellMar>
        </w:tblPrEx>
        <w:trPr>
          <w:trHeight w:val="308" w:hRule="atLeast"/>
        </w:trPr>
        <w:tc>
          <w:tcPr>
            <w:tcW w:w="1459"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57.50</w:t>
            </w:r>
            <w:r>
              <w:rPr>
                <w:rFonts w:hint="default" w:ascii="Times New Roman" w:hAnsi="Times New Roman" w:cs="Times New Roman"/>
                <w:color w:val="000000"/>
                <w:sz w:val="22"/>
                <w:lang w:bidi="ar"/>
              </w:rPr>
              <w:t>%</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27.50</w:t>
            </w:r>
            <w:r>
              <w:rPr>
                <w:rFonts w:hint="default" w:ascii="Times New Roman" w:hAnsi="Times New Roman" w:cs="Times New Roman"/>
                <w:color w:val="000000"/>
                <w:sz w:val="22"/>
                <w:lang w:bidi="ar"/>
              </w:rPr>
              <w:t>%</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w:t>
            </w:r>
            <w:r>
              <w:rPr>
                <w:rFonts w:hint="default" w:ascii="Times New Roman" w:hAnsi="Times New Roman" w:cs="Times New Roman"/>
                <w:color w:val="000000"/>
                <w:sz w:val="22"/>
                <w:lang w:val="en-US" w:eastAsia="zh-CN" w:bidi="ar"/>
              </w:rPr>
              <w:t>0</w:t>
            </w:r>
            <w:r>
              <w:rPr>
                <w:rFonts w:hint="default" w:ascii="Times New Roman" w:hAnsi="Times New Roman" w:cs="Times New Roman"/>
                <w:color w:val="000000"/>
                <w:sz w:val="22"/>
                <w:lang w:bidi="ar"/>
              </w:rPr>
              <w:t>.00%</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5</w:t>
            </w:r>
            <w:r>
              <w:rPr>
                <w:rFonts w:hint="default" w:ascii="Times New Roman" w:hAnsi="Times New Roman" w:cs="Times New Roman"/>
                <w:color w:val="000000"/>
                <w:sz w:val="22"/>
                <w:lang w:bidi="ar"/>
              </w:rPr>
              <w:t>.00%</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r>
    </w:tbl>
    <w:p>
      <w:pPr>
        <w:spacing w:line="560" w:lineRule="exact"/>
        <w:ind w:firstLine="640" w:firstLineChars="200"/>
        <w:jc w:val="both"/>
        <w:rPr>
          <w:rFonts w:hint="default" w:ascii="Times New Roman" w:hAnsi="Times New Roman" w:eastAsia="仿宋_GB2312" w:cs="Times New Roman"/>
          <w:sz w:val="32"/>
          <w:szCs w:val="28"/>
          <w:lang w:val="en-US" w:eastAsia="zh-CN" w:bidi="ar-SA"/>
        </w:rPr>
      </w:pPr>
      <w:r>
        <w:rPr>
          <w:rFonts w:hint="default" w:ascii="Times New Roman" w:hAnsi="Times New Roman" w:eastAsia="仿宋_GB2312" w:cs="Times New Roman"/>
          <w:sz w:val="32"/>
          <w:szCs w:val="28"/>
          <w:lang w:val="en-US" w:eastAsia="zh-CN" w:bidi="ar-SA"/>
        </w:rPr>
        <w:t>5.您对市区河渠养护对河道环境改善程度的满意程度？</w:t>
      </w:r>
    </w:p>
    <w:p>
      <w:pPr>
        <w:widowControl w:val="0"/>
        <w:ind w:firstLine="840" w:firstLineChars="300"/>
        <w:rPr>
          <w:rFonts w:hint="default" w:ascii="Times New Roman" w:hAnsi="Times New Roman" w:cs="Times New Roman"/>
          <w:kern w:val="2"/>
          <w:sz w:val="28"/>
          <w:szCs w:val="24"/>
          <w:lang w:bidi="zh-CN"/>
        </w:rPr>
      </w:pPr>
      <w:r>
        <w:rPr>
          <w:rFonts w:hint="default" w:ascii="Times New Roman" w:hAnsi="Times New Roman" w:cs="Times New Roman"/>
          <w:kern w:val="2"/>
          <w:sz w:val="28"/>
          <w:szCs w:val="24"/>
          <w:lang w:bidi="zh-CN"/>
        </w:rPr>
        <w:t>A.非常满意 B.比较满意 C.一般 D.不太满意 E.非常不满意</w:t>
      </w:r>
    </w:p>
    <w:tbl>
      <w:tblPr>
        <w:tblStyle w:val="37"/>
        <w:tblW w:w="4997" w:type="pct"/>
        <w:tblInd w:w="0" w:type="dxa"/>
        <w:tblLayout w:type="autofit"/>
        <w:tblCellMar>
          <w:top w:w="0" w:type="dxa"/>
          <w:left w:w="108" w:type="dxa"/>
          <w:bottom w:w="0" w:type="dxa"/>
          <w:right w:w="108" w:type="dxa"/>
        </w:tblCellMar>
      </w:tblPr>
      <w:tblGrid>
        <w:gridCol w:w="1459"/>
        <w:gridCol w:w="657"/>
        <w:gridCol w:w="1305"/>
        <w:gridCol w:w="1365"/>
        <w:gridCol w:w="1237"/>
        <w:gridCol w:w="1204"/>
        <w:gridCol w:w="1488"/>
      </w:tblGrid>
      <w:tr>
        <w:tblPrEx>
          <w:tblCellMar>
            <w:top w:w="0" w:type="dxa"/>
            <w:left w:w="108" w:type="dxa"/>
            <w:bottom w:w="0" w:type="dxa"/>
            <w:right w:w="108" w:type="dxa"/>
          </w:tblCellMar>
        </w:tblPrEx>
        <w:trPr>
          <w:trHeight w:val="308" w:hRule="atLeast"/>
        </w:trPr>
        <w:tc>
          <w:tcPr>
            <w:tcW w:w="145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综合满意度</w:t>
            </w:r>
          </w:p>
        </w:tc>
        <w:tc>
          <w:tcPr>
            <w:tcW w:w="6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合计</w:t>
            </w:r>
          </w:p>
        </w:tc>
        <w:tc>
          <w:tcPr>
            <w:tcW w:w="130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100%</w:t>
            </w:r>
          </w:p>
        </w:tc>
        <w:tc>
          <w:tcPr>
            <w:tcW w:w="1365"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75%</w:t>
            </w:r>
          </w:p>
        </w:tc>
        <w:tc>
          <w:tcPr>
            <w:tcW w:w="1237"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50%</w:t>
            </w:r>
          </w:p>
        </w:tc>
        <w:tc>
          <w:tcPr>
            <w:tcW w:w="1204"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25%</w:t>
            </w:r>
          </w:p>
        </w:tc>
        <w:tc>
          <w:tcPr>
            <w:tcW w:w="1488" w:type="dxa"/>
            <w:tcBorders>
              <w:top w:val="single" w:color="auto" w:sz="4" w:space="0"/>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0%</w:t>
            </w:r>
          </w:p>
        </w:tc>
      </w:tr>
      <w:tr>
        <w:tblPrEx>
          <w:tblCellMar>
            <w:top w:w="0" w:type="dxa"/>
            <w:left w:w="108" w:type="dxa"/>
            <w:bottom w:w="0" w:type="dxa"/>
            <w:right w:w="108" w:type="dxa"/>
          </w:tblCellMar>
        </w:tblPrEx>
        <w:trPr>
          <w:trHeight w:val="315" w:hRule="atLeast"/>
        </w:trPr>
        <w:tc>
          <w:tcPr>
            <w:tcW w:w="1459"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非常满意</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比较满意</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基本满意</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不太满意</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非常不满意</w:t>
            </w:r>
          </w:p>
        </w:tc>
      </w:tr>
      <w:tr>
        <w:tblPrEx>
          <w:tblCellMar>
            <w:top w:w="0" w:type="dxa"/>
            <w:left w:w="108" w:type="dxa"/>
            <w:bottom w:w="0" w:type="dxa"/>
            <w:right w:w="108" w:type="dxa"/>
          </w:tblCellMar>
        </w:tblPrEx>
        <w:trPr>
          <w:trHeight w:val="308" w:hRule="atLeast"/>
        </w:trPr>
        <w:tc>
          <w:tcPr>
            <w:tcW w:w="1459"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86.25</w:t>
            </w:r>
            <w:r>
              <w:rPr>
                <w:rFonts w:hint="default" w:ascii="Times New Roman" w:hAnsi="Times New Roman" w:cs="Times New Roman"/>
                <w:color w:val="000000"/>
                <w:sz w:val="22"/>
                <w:lang w:bidi="ar"/>
              </w:rPr>
              <w:t>%</w:t>
            </w:r>
          </w:p>
        </w:tc>
        <w:tc>
          <w:tcPr>
            <w:tcW w:w="657" w:type="dxa"/>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80</w:t>
            </w: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53</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10</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17</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w:t>
            </w:r>
          </w:p>
        </w:tc>
      </w:tr>
      <w:tr>
        <w:tblPrEx>
          <w:tblCellMar>
            <w:top w:w="0" w:type="dxa"/>
            <w:left w:w="108" w:type="dxa"/>
            <w:bottom w:w="0" w:type="dxa"/>
            <w:right w:w="108" w:type="dxa"/>
          </w:tblCellMar>
        </w:tblPrEx>
        <w:trPr>
          <w:trHeight w:val="308" w:hRule="atLeast"/>
        </w:trPr>
        <w:tc>
          <w:tcPr>
            <w:tcW w:w="1459"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657" w:type="dxa"/>
            <w:vMerge w:val="continue"/>
            <w:tcBorders>
              <w:top w:val="nil"/>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p>
        </w:tc>
        <w:tc>
          <w:tcPr>
            <w:tcW w:w="130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66.25</w:t>
            </w:r>
            <w:r>
              <w:rPr>
                <w:rFonts w:hint="default" w:ascii="Times New Roman" w:hAnsi="Times New Roman" w:cs="Times New Roman"/>
                <w:color w:val="000000"/>
                <w:sz w:val="22"/>
                <w:lang w:bidi="ar"/>
              </w:rPr>
              <w:t>%</w:t>
            </w:r>
          </w:p>
        </w:tc>
        <w:tc>
          <w:tcPr>
            <w:tcW w:w="1365"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bidi="ar"/>
              </w:rPr>
              <w:t>1</w:t>
            </w:r>
            <w:r>
              <w:rPr>
                <w:rFonts w:hint="default" w:ascii="Times New Roman" w:hAnsi="Times New Roman" w:cs="Times New Roman"/>
                <w:color w:val="000000"/>
                <w:sz w:val="22"/>
                <w:lang w:val="en-US" w:eastAsia="zh-CN" w:bidi="ar"/>
              </w:rPr>
              <w:t>2.50</w:t>
            </w:r>
            <w:r>
              <w:rPr>
                <w:rFonts w:hint="default" w:ascii="Times New Roman" w:hAnsi="Times New Roman" w:cs="Times New Roman"/>
                <w:color w:val="000000"/>
                <w:sz w:val="22"/>
                <w:lang w:bidi="ar"/>
              </w:rPr>
              <w:t>%</w:t>
            </w:r>
          </w:p>
        </w:tc>
        <w:tc>
          <w:tcPr>
            <w:tcW w:w="1237"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right="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21.25</w:t>
            </w:r>
            <w:r>
              <w:rPr>
                <w:rFonts w:hint="default" w:ascii="Times New Roman" w:hAnsi="Times New Roman" w:cs="Times New Roman"/>
                <w:color w:val="000000"/>
                <w:sz w:val="22"/>
                <w:lang w:bidi="ar"/>
              </w:rPr>
              <w:t>%</w:t>
            </w:r>
          </w:p>
        </w:tc>
        <w:tc>
          <w:tcPr>
            <w:tcW w:w="1204"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eastAsia="仿宋_GB2312" w:cs="Times New Roman"/>
                <w:color w:val="000000"/>
                <w:sz w:val="22"/>
                <w:lang w:val="en-US" w:eastAsia="zh-CN"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c>
          <w:tcPr>
            <w:tcW w:w="1488" w:type="dxa"/>
            <w:tcBorders>
              <w:top w:val="nil"/>
              <w:left w:val="nil"/>
              <w:bottom w:val="single" w:color="auto" w:sz="4" w:space="0"/>
              <w:right w:val="single" w:color="auto" w:sz="4" w:space="0"/>
            </w:tcBorders>
            <w:shd w:val="clear" w:color="auto" w:fill="auto"/>
            <w:vAlign w:val="bottom"/>
          </w:tcPr>
          <w:p>
            <w:pPr>
              <w:keepNext w:val="0"/>
              <w:keepLines w:val="0"/>
              <w:widowControl/>
              <w:suppressLineNumbers w:val="0"/>
              <w:spacing w:before="0" w:beforeAutospacing="0" w:after="0" w:afterAutospacing="0" w:line="300" w:lineRule="exact"/>
              <w:ind w:left="0" w:leftChars="0" w:right="0" w:rightChars="0" w:firstLine="0" w:firstLineChars="0"/>
              <w:jc w:val="center"/>
              <w:textAlignment w:val="center"/>
              <w:rPr>
                <w:rFonts w:hint="default" w:ascii="Times New Roman" w:hAnsi="Times New Roman" w:cs="Times New Roman"/>
                <w:color w:val="000000"/>
                <w:sz w:val="22"/>
                <w:lang w:bidi="ar"/>
              </w:rPr>
            </w:pPr>
            <w:r>
              <w:rPr>
                <w:rFonts w:hint="default" w:ascii="Times New Roman" w:hAnsi="Times New Roman" w:cs="Times New Roman"/>
                <w:color w:val="000000"/>
                <w:sz w:val="22"/>
                <w:lang w:val="en-US" w:eastAsia="zh-CN" w:bidi="ar"/>
              </w:rPr>
              <w:t>0.00</w:t>
            </w:r>
            <w:r>
              <w:rPr>
                <w:rFonts w:hint="default" w:ascii="Times New Roman" w:hAnsi="Times New Roman" w:cs="Times New Roman"/>
                <w:color w:val="000000"/>
                <w:sz w:val="22"/>
                <w:lang w:bidi="ar"/>
              </w:rPr>
              <w:t>%</w:t>
            </w:r>
          </w:p>
        </w:tc>
      </w:tr>
    </w:tbl>
    <w:p>
      <w:pPr>
        <w:spacing w:line="560" w:lineRule="exact"/>
        <w:ind w:firstLine="640" w:firstLineChars="200"/>
        <w:jc w:val="both"/>
        <w:rPr>
          <w:rFonts w:hint="default" w:ascii="Times New Roman" w:hAnsi="Times New Roman" w:eastAsia="仿宋_GB2312" w:cs="Times New Roman"/>
          <w:sz w:val="32"/>
          <w:szCs w:val="28"/>
          <w:lang w:val="en-US" w:eastAsia="zh-CN" w:bidi="ar-SA"/>
        </w:rPr>
      </w:pPr>
      <w:r>
        <w:rPr>
          <w:rFonts w:hint="default" w:ascii="Times New Roman" w:hAnsi="Times New Roman" w:eastAsia="仿宋_GB2312" w:cs="Times New Roman"/>
          <w:sz w:val="32"/>
          <w:szCs w:val="28"/>
          <w:lang w:val="en-US" w:eastAsia="zh-CN" w:bidi="ar-SA"/>
        </w:rPr>
        <w:t>三、您对市区河渠社会化养护有何意见或建议？</w:t>
      </w:r>
    </w:p>
    <w:p>
      <w:pPr>
        <w:ind w:firstLine="0" w:firstLineChars="0"/>
        <w:jc w:val="center"/>
        <w:rPr>
          <w:rFonts w:hint="default" w:ascii="Times New Roman" w:hAnsi="Times New Roman" w:eastAsia="宋体" w:cs="Times New Roman"/>
          <w:szCs w:val="28"/>
        </w:rPr>
      </w:pPr>
    </w:p>
    <w:sectPr>
      <w:headerReference r:id="rId21" w:type="default"/>
      <w:footerReference r:id="rId22" w:type="default"/>
      <w:footnotePr>
        <w:numRestart w:val="eachPage"/>
      </w:footnotePr>
      <w:pgSz w:w="11906" w:h="16838"/>
      <w:pgMar w:top="1304" w:right="1701" w:bottom="1304" w:left="1701" w:header="850" w:footer="992" w:gutter="0"/>
      <w:pgNumType w:fmt="decimal"/>
      <w:cols w:space="72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ind w:firstLine="360"/>
      <w:jc w:val="center"/>
    </w:pPr>
  </w:p>
  <w:p>
    <w:pPr>
      <w:spacing w:before="120" w:after="120"/>
      <w:ind w:firstLine="64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jc w:val="right"/>
      <w:rPr>
        <w:rFonts w:ascii="Times New Roman" w:hAnsi="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spacing w:before="0" w:after="0" w:line="240" w:lineRule="auto"/>
                            <w:ind w:firstLine="0" w:firstLineChars="0"/>
                            <w:jc w:val="right"/>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59</w:t>
                          </w:r>
                          <w:r>
                            <w:rPr>
                              <w:rFonts w:ascii="Times New Roman" w:hAnsi="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pPr>
                      <w:pStyle w:val="24"/>
                      <w:spacing w:before="0" w:after="0" w:line="240" w:lineRule="auto"/>
                      <w:ind w:firstLine="0" w:firstLineChars="0"/>
                      <w:jc w:val="right"/>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59</w:t>
                    </w:r>
                    <w:r>
                      <w:rPr>
                        <w:rFonts w:ascii="Times New Roman" w:hAnsi="Times New Roman"/>
                        <w:sz w:val="28"/>
                        <w:szCs w:val="28"/>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rPr>
        <w:rFonts w:ascii="Times New Roman" w:hAnsi="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24"/>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2</w:t>
                    </w:r>
                    <w:r>
                      <w:rPr>
                        <w:rFonts w:hint="default" w:ascii="Times New Roman" w:hAnsi="Times New Roman" w:cs="Times New Roman"/>
                        <w:sz w:val="28"/>
                        <w:szCs w:val="28"/>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jc w:val="right"/>
      <w:rPr>
        <w:rFonts w:ascii="Times New Roman" w:hAnsi="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spacing w:before="0" w:after="0" w:line="240" w:lineRule="auto"/>
                            <w:ind w:firstLine="0" w:firstLineChars="0"/>
                            <w:jc w:val="right"/>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67</w:t>
                          </w:r>
                          <w:r>
                            <w:rPr>
                              <w:rFonts w:ascii="Times New Roman" w:hAnsi="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24"/>
                      <w:spacing w:before="0" w:after="0" w:line="240" w:lineRule="auto"/>
                      <w:ind w:firstLine="0" w:firstLineChars="0"/>
                      <w:jc w:val="right"/>
                    </w:pP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67</w:t>
                    </w:r>
                    <w:r>
                      <w:rPr>
                        <w:rFonts w:ascii="Times New Roman" w:hAnsi="Times New Roman"/>
                        <w:sz w:val="28"/>
                        <w:szCs w:val="28"/>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cente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ind w:left="0" w:leftChars="0" w:firstLine="0" w:firstLineChars="0"/>
                            <w:jc w:val="both"/>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73</w:t>
                          </w:r>
                          <w:r>
                            <w:rPr>
                              <w:rFonts w:hint="default"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4"/>
                      <w:ind w:left="0" w:leftChars="0" w:firstLine="0" w:firstLineChars="0"/>
                      <w:jc w:val="both"/>
                      <w:rPr>
                        <w:rFonts w:hint="default" w:ascii="Times New Roman" w:hAnsi="Times New Roman" w:cs="Times New Roman"/>
                        <w:sz w:val="28"/>
                        <w:szCs w:val="28"/>
                      </w:rPr>
                    </w:pP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PAGE   \* MERGEFORMAT</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lang w:val="zh-CN"/>
                      </w:rPr>
                      <w:t>73</w:t>
                    </w:r>
                    <w:r>
                      <w:rPr>
                        <w:rFonts w:hint="default" w:ascii="Times New Roman" w:hAnsi="Times New Roman" w:cs="Times New Roman"/>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rPr>
        <w:rFonts w:ascii="Times New Roman" w:hAnsi="Times New Roman"/>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ind w:firstLine="360"/>
      <w:jc w:val="center"/>
    </w:pPr>
  </w:p>
  <w:p>
    <w:pPr>
      <w:spacing w:before="120" w:after="120"/>
      <w:ind w:firstLine="64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rPr>
        <w:rFonts w:ascii="Times New Roman" w:hAnsi="Times New Roman"/>
        <w:sz w:val="28"/>
        <w:szCs w:val="2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ind w:firstLine="360"/>
      <w:jc w:val="center"/>
    </w:pPr>
  </w:p>
  <w:p>
    <w:pPr>
      <w:spacing w:before="120" w:after="120"/>
      <w:ind w:firstLine="64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rPr>
        <w:rFonts w:ascii="Times New Roman" w:hAnsi="Times New Roman"/>
        <w:sz w:val="28"/>
        <w:szCs w:val="2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120" w:after="120"/>
      <w:ind w:firstLine="360"/>
      <w:jc w:val="center"/>
    </w:pPr>
  </w:p>
  <w:p>
    <w:pPr>
      <w:spacing w:before="120" w:after="120"/>
      <w:ind w:firstLine="64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spacing w:before="0" w:after="0" w:line="240" w:lineRule="auto"/>
      <w:ind w:firstLine="0" w:firstLineChars="0"/>
      <w:rPr>
        <w:rFonts w:ascii="Times New Roman" w:hAnsi="Times New Roman"/>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spacing w:line="240" w:lineRule="auto"/>
        <w:ind w:firstLine="640"/>
      </w:pPr>
      <w:r>
        <w:separator/>
      </w:r>
    </w:p>
  </w:footnote>
  <w:footnote w:type="continuationSeparator" w:id="3">
    <w:p>
      <w:pPr>
        <w:spacing w:line="240" w:lineRule="auto"/>
        <w:ind w:firstLine="640"/>
      </w:pPr>
      <w:r>
        <w:continuationSeparator/>
      </w:r>
    </w:p>
  </w:footnote>
  <w:footnote w:id="0">
    <w:p>
      <w:pPr>
        <w:pStyle w:val="29"/>
        <w:ind w:firstLine="360"/>
        <w:rPr>
          <w:lang w:eastAsia="zh-CN"/>
        </w:rPr>
      </w:pPr>
      <w:r>
        <w:rPr>
          <w:rStyle w:val="47"/>
        </w:rPr>
        <w:footnoteRef/>
      </w:r>
      <w:r>
        <w:rPr>
          <w:lang w:eastAsia="zh-CN"/>
        </w:rPr>
        <w:t xml:space="preserve"> </w:t>
      </w:r>
      <w:r>
        <w:rPr>
          <w:rFonts w:hint="eastAsia"/>
          <w:lang w:eastAsia="zh-CN"/>
        </w:rPr>
        <w:t>赵定河胜利街段养护合同于2022年6月份到期，公开招标后确定新的养护单位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rPr>
        <w:sz w:val="28"/>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6" w:space="0"/>
      </w:pBdr>
      <w:tabs>
        <w:tab w:val="left" w:pos="3647"/>
        <w:tab w:val="center" w:pos="4153"/>
        <w:tab w:val="right" w:pos="8306"/>
      </w:tabs>
      <w:snapToGrid w:val="0"/>
      <w:spacing w:line="240" w:lineRule="atLeast"/>
      <w:ind w:firstLine="360"/>
      <w:rPr>
        <w:rFonts w:ascii="宋体" w:hAnsi="宋体" w:eastAsia="宋体"/>
        <w:sz w:val="18"/>
        <w:szCs w:val="18"/>
      </w:rPr>
    </w:pPr>
    <w:r>
      <w:rPr>
        <w:rFonts w:hint="eastAsia" w:ascii="宋体" w:hAnsi="宋体" w:eastAsia="宋体"/>
        <w:sz w:val="18"/>
        <w:szCs w:val="18"/>
      </w:rPr>
      <w:t>崇明县三烈中学新建体育馆等工程项目                                                                                                上海立丰税务师事务所有限公司</w:t>
    </w:r>
  </w:p>
  <w:p>
    <w:pPr>
      <w:pStyle w:val="25"/>
      <w:ind w:firstLine="360"/>
      <w:rPr>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uto"/>
      <w:ind w:firstLine="360"/>
      <w:rPr>
        <w:color w:val="FFFFFF"/>
      </w:rPr>
    </w:pPr>
  </w:p>
  <w:p>
    <w:pPr>
      <w:spacing w:before="120" w:after="120"/>
      <w:ind w:firstLine="6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spacing w:line="240" w:lineRule="auto"/>
      <w:ind w:firstLine="360"/>
      <w:rPr>
        <w:color w:val="FFFFFF"/>
      </w:rPr>
    </w:pPr>
  </w:p>
  <w:p>
    <w:pPr>
      <w:spacing w:before="120" w:after="120"/>
      <w:ind w:firstLine="6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611440"/>
    <w:multiLevelType w:val="singleLevel"/>
    <w:tmpl w:val="6561144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autoHyphenation/>
  <w:evenAndOddHeaders w:val="1"/>
  <w:drawingGridHorizontalSpacing w:val="320"/>
  <w:drawingGridVerticalSpacing w:val="222"/>
  <w:displayHorizontalDrawingGridEvery w:val="1"/>
  <w:displayVerticalDrawingGridEvery w:val="1"/>
  <w:noPunctuationKerning w:val="1"/>
  <w:characterSpacingControl w:val="doNotCompress"/>
  <w:footnotePr>
    <w:numRestart w:val="eachPage"/>
    <w:footnote w:id="2"/>
    <w:footnote w:id="3"/>
  </w:footnotePr>
  <w:endnotePr>
    <w:endnote w:id="0"/>
    <w:endnote w:id="1"/>
  </w:endnotePr>
  <w:compat>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007B040B"/>
    <w:rsid w:val="000001A2"/>
    <w:rsid w:val="000001DC"/>
    <w:rsid w:val="000009FD"/>
    <w:rsid w:val="00001499"/>
    <w:rsid w:val="00001539"/>
    <w:rsid w:val="00001891"/>
    <w:rsid w:val="0000233F"/>
    <w:rsid w:val="0000298F"/>
    <w:rsid w:val="00002C7C"/>
    <w:rsid w:val="00002F9D"/>
    <w:rsid w:val="000035E2"/>
    <w:rsid w:val="0000408C"/>
    <w:rsid w:val="0000438F"/>
    <w:rsid w:val="000049F3"/>
    <w:rsid w:val="00004CA4"/>
    <w:rsid w:val="00004CCB"/>
    <w:rsid w:val="000051A5"/>
    <w:rsid w:val="00005850"/>
    <w:rsid w:val="00005A6B"/>
    <w:rsid w:val="00005B2F"/>
    <w:rsid w:val="00005D57"/>
    <w:rsid w:val="00005DB1"/>
    <w:rsid w:val="0000617E"/>
    <w:rsid w:val="0000717C"/>
    <w:rsid w:val="00007243"/>
    <w:rsid w:val="00007389"/>
    <w:rsid w:val="00007431"/>
    <w:rsid w:val="00007AB9"/>
    <w:rsid w:val="00007B67"/>
    <w:rsid w:val="0001003F"/>
    <w:rsid w:val="000109E3"/>
    <w:rsid w:val="00010AFD"/>
    <w:rsid w:val="0001189C"/>
    <w:rsid w:val="0001253D"/>
    <w:rsid w:val="000129C6"/>
    <w:rsid w:val="00013278"/>
    <w:rsid w:val="000133C8"/>
    <w:rsid w:val="00013718"/>
    <w:rsid w:val="000137EE"/>
    <w:rsid w:val="000138FC"/>
    <w:rsid w:val="0001471B"/>
    <w:rsid w:val="00014A52"/>
    <w:rsid w:val="000158AD"/>
    <w:rsid w:val="00016CD4"/>
    <w:rsid w:val="00020656"/>
    <w:rsid w:val="00020687"/>
    <w:rsid w:val="00020E8D"/>
    <w:rsid w:val="00021CC6"/>
    <w:rsid w:val="00022211"/>
    <w:rsid w:val="000223DA"/>
    <w:rsid w:val="00022E56"/>
    <w:rsid w:val="000233D2"/>
    <w:rsid w:val="00023477"/>
    <w:rsid w:val="00023515"/>
    <w:rsid w:val="00023D88"/>
    <w:rsid w:val="0002460E"/>
    <w:rsid w:val="00024994"/>
    <w:rsid w:val="0002504A"/>
    <w:rsid w:val="00026C11"/>
    <w:rsid w:val="00026E20"/>
    <w:rsid w:val="00026EF6"/>
    <w:rsid w:val="00026FAB"/>
    <w:rsid w:val="0002752A"/>
    <w:rsid w:val="000275FF"/>
    <w:rsid w:val="00027B35"/>
    <w:rsid w:val="00027EC8"/>
    <w:rsid w:val="00027EFD"/>
    <w:rsid w:val="000301B0"/>
    <w:rsid w:val="00030509"/>
    <w:rsid w:val="00030928"/>
    <w:rsid w:val="00031794"/>
    <w:rsid w:val="00031B86"/>
    <w:rsid w:val="00031CC1"/>
    <w:rsid w:val="000322EB"/>
    <w:rsid w:val="000325F6"/>
    <w:rsid w:val="0003297D"/>
    <w:rsid w:val="00032F25"/>
    <w:rsid w:val="00032F73"/>
    <w:rsid w:val="00033100"/>
    <w:rsid w:val="00033BB2"/>
    <w:rsid w:val="000342EB"/>
    <w:rsid w:val="00034A0F"/>
    <w:rsid w:val="00034C42"/>
    <w:rsid w:val="000353B3"/>
    <w:rsid w:val="000358BE"/>
    <w:rsid w:val="00036229"/>
    <w:rsid w:val="0003713A"/>
    <w:rsid w:val="00037464"/>
    <w:rsid w:val="000374A6"/>
    <w:rsid w:val="0003756B"/>
    <w:rsid w:val="00037BD3"/>
    <w:rsid w:val="00040804"/>
    <w:rsid w:val="0004099D"/>
    <w:rsid w:val="00040BF6"/>
    <w:rsid w:val="000416FA"/>
    <w:rsid w:val="00041A29"/>
    <w:rsid w:val="000420E6"/>
    <w:rsid w:val="000427CF"/>
    <w:rsid w:val="00042E7F"/>
    <w:rsid w:val="00043521"/>
    <w:rsid w:val="00043613"/>
    <w:rsid w:val="000442BB"/>
    <w:rsid w:val="000442D4"/>
    <w:rsid w:val="00044311"/>
    <w:rsid w:val="000446F4"/>
    <w:rsid w:val="00044C0C"/>
    <w:rsid w:val="00045199"/>
    <w:rsid w:val="00045595"/>
    <w:rsid w:val="00045A15"/>
    <w:rsid w:val="00045B3F"/>
    <w:rsid w:val="00045E00"/>
    <w:rsid w:val="000461DB"/>
    <w:rsid w:val="00046CBB"/>
    <w:rsid w:val="00046CC8"/>
    <w:rsid w:val="00046D21"/>
    <w:rsid w:val="000471E4"/>
    <w:rsid w:val="00047578"/>
    <w:rsid w:val="00047632"/>
    <w:rsid w:val="000476B3"/>
    <w:rsid w:val="00047734"/>
    <w:rsid w:val="00047E67"/>
    <w:rsid w:val="00047EA1"/>
    <w:rsid w:val="000500A6"/>
    <w:rsid w:val="00050513"/>
    <w:rsid w:val="000508B9"/>
    <w:rsid w:val="00050BF6"/>
    <w:rsid w:val="0005170C"/>
    <w:rsid w:val="0005335A"/>
    <w:rsid w:val="000534BE"/>
    <w:rsid w:val="00053FEE"/>
    <w:rsid w:val="000543E0"/>
    <w:rsid w:val="00054544"/>
    <w:rsid w:val="000548BB"/>
    <w:rsid w:val="00054D97"/>
    <w:rsid w:val="00054E8C"/>
    <w:rsid w:val="00054F25"/>
    <w:rsid w:val="00055375"/>
    <w:rsid w:val="000559A8"/>
    <w:rsid w:val="00055AE3"/>
    <w:rsid w:val="00055B13"/>
    <w:rsid w:val="00055F5D"/>
    <w:rsid w:val="000564FB"/>
    <w:rsid w:val="00056B55"/>
    <w:rsid w:val="00056CB2"/>
    <w:rsid w:val="00056D5E"/>
    <w:rsid w:val="000573C0"/>
    <w:rsid w:val="0005770D"/>
    <w:rsid w:val="0005772B"/>
    <w:rsid w:val="00057E41"/>
    <w:rsid w:val="000604DF"/>
    <w:rsid w:val="000606B6"/>
    <w:rsid w:val="00060AC9"/>
    <w:rsid w:val="0006133B"/>
    <w:rsid w:val="000617E0"/>
    <w:rsid w:val="00061971"/>
    <w:rsid w:val="0006255F"/>
    <w:rsid w:val="00062840"/>
    <w:rsid w:val="00062FE3"/>
    <w:rsid w:val="00063436"/>
    <w:rsid w:val="00064265"/>
    <w:rsid w:val="00064BD6"/>
    <w:rsid w:val="00065385"/>
    <w:rsid w:val="000657EB"/>
    <w:rsid w:val="00066A0E"/>
    <w:rsid w:val="00066AE1"/>
    <w:rsid w:val="00066DA2"/>
    <w:rsid w:val="000670FB"/>
    <w:rsid w:val="00067508"/>
    <w:rsid w:val="0006799F"/>
    <w:rsid w:val="00067A03"/>
    <w:rsid w:val="00067AF7"/>
    <w:rsid w:val="00067E2B"/>
    <w:rsid w:val="00070D2B"/>
    <w:rsid w:val="000713C4"/>
    <w:rsid w:val="000716A8"/>
    <w:rsid w:val="000717BB"/>
    <w:rsid w:val="00073245"/>
    <w:rsid w:val="00073F9E"/>
    <w:rsid w:val="00074745"/>
    <w:rsid w:val="00074759"/>
    <w:rsid w:val="00074A36"/>
    <w:rsid w:val="00074E11"/>
    <w:rsid w:val="00074FD4"/>
    <w:rsid w:val="0007537F"/>
    <w:rsid w:val="000754F8"/>
    <w:rsid w:val="00075577"/>
    <w:rsid w:val="00075B33"/>
    <w:rsid w:val="00075BB1"/>
    <w:rsid w:val="000763F0"/>
    <w:rsid w:val="000766C7"/>
    <w:rsid w:val="00076791"/>
    <w:rsid w:val="00076888"/>
    <w:rsid w:val="00076C08"/>
    <w:rsid w:val="00076FD7"/>
    <w:rsid w:val="0007762C"/>
    <w:rsid w:val="000777E7"/>
    <w:rsid w:val="0007782C"/>
    <w:rsid w:val="0008066A"/>
    <w:rsid w:val="000807B7"/>
    <w:rsid w:val="000808FD"/>
    <w:rsid w:val="00080AD4"/>
    <w:rsid w:val="00080B82"/>
    <w:rsid w:val="00081573"/>
    <w:rsid w:val="00081587"/>
    <w:rsid w:val="000815DD"/>
    <w:rsid w:val="000819C7"/>
    <w:rsid w:val="00081D36"/>
    <w:rsid w:val="00081DF8"/>
    <w:rsid w:val="00082032"/>
    <w:rsid w:val="00082733"/>
    <w:rsid w:val="0008385F"/>
    <w:rsid w:val="00083CD8"/>
    <w:rsid w:val="00084156"/>
    <w:rsid w:val="00084A29"/>
    <w:rsid w:val="00084A71"/>
    <w:rsid w:val="00084BEB"/>
    <w:rsid w:val="00085B6A"/>
    <w:rsid w:val="00085D49"/>
    <w:rsid w:val="00085D5B"/>
    <w:rsid w:val="00085EB6"/>
    <w:rsid w:val="000863BB"/>
    <w:rsid w:val="0008655B"/>
    <w:rsid w:val="0008687B"/>
    <w:rsid w:val="00086A5E"/>
    <w:rsid w:val="00086DED"/>
    <w:rsid w:val="00086F27"/>
    <w:rsid w:val="000879F5"/>
    <w:rsid w:val="00087A3D"/>
    <w:rsid w:val="00087E7D"/>
    <w:rsid w:val="00090493"/>
    <w:rsid w:val="0009073A"/>
    <w:rsid w:val="00090F65"/>
    <w:rsid w:val="000911F1"/>
    <w:rsid w:val="00091780"/>
    <w:rsid w:val="00091D61"/>
    <w:rsid w:val="00091EC3"/>
    <w:rsid w:val="00092671"/>
    <w:rsid w:val="00092972"/>
    <w:rsid w:val="00092A0F"/>
    <w:rsid w:val="000933DE"/>
    <w:rsid w:val="00093607"/>
    <w:rsid w:val="00093EDA"/>
    <w:rsid w:val="0009419F"/>
    <w:rsid w:val="0009493A"/>
    <w:rsid w:val="00094A67"/>
    <w:rsid w:val="00094F02"/>
    <w:rsid w:val="00095520"/>
    <w:rsid w:val="0009599F"/>
    <w:rsid w:val="00095B77"/>
    <w:rsid w:val="0009693F"/>
    <w:rsid w:val="000971CC"/>
    <w:rsid w:val="0009733B"/>
    <w:rsid w:val="000A0E5D"/>
    <w:rsid w:val="000A11D4"/>
    <w:rsid w:val="000A1C2C"/>
    <w:rsid w:val="000A215F"/>
    <w:rsid w:val="000A25E0"/>
    <w:rsid w:val="000A293C"/>
    <w:rsid w:val="000A2AA5"/>
    <w:rsid w:val="000A3228"/>
    <w:rsid w:val="000A367B"/>
    <w:rsid w:val="000A3794"/>
    <w:rsid w:val="000A4538"/>
    <w:rsid w:val="000A4B06"/>
    <w:rsid w:val="000A4C7C"/>
    <w:rsid w:val="000A57F4"/>
    <w:rsid w:val="000A5A88"/>
    <w:rsid w:val="000A5C21"/>
    <w:rsid w:val="000A5C86"/>
    <w:rsid w:val="000A5CCF"/>
    <w:rsid w:val="000A6469"/>
    <w:rsid w:val="000A6AF8"/>
    <w:rsid w:val="000A797C"/>
    <w:rsid w:val="000B0416"/>
    <w:rsid w:val="000B0DA7"/>
    <w:rsid w:val="000B1743"/>
    <w:rsid w:val="000B1BF1"/>
    <w:rsid w:val="000B2A42"/>
    <w:rsid w:val="000B2A95"/>
    <w:rsid w:val="000B2E15"/>
    <w:rsid w:val="000B2FB4"/>
    <w:rsid w:val="000B3A77"/>
    <w:rsid w:val="000B3E33"/>
    <w:rsid w:val="000B3FBA"/>
    <w:rsid w:val="000B41D0"/>
    <w:rsid w:val="000B44AF"/>
    <w:rsid w:val="000B471D"/>
    <w:rsid w:val="000B4C07"/>
    <w:rsid w:val="000B5415"/>
    <w:rsid w:val="000B6D01"/>
    <w:rsid w:val="000B76C1"/>
    <w:rsid w:val="000B7BAE"/>
    <w:rsid w:val="000C02B9"/>
    <w:rsid w:val="000C09E6"/>
    <w:rsid w:val="000C0DCD"/>
    <w:rsid w:val="000C0EFB"/>
    <w:rsid w:val="000C1627"/>
    <w:rsid w:val="000C200B"/>
    <w:rsid w:val="000C2178"/>
    <w:rsid w:val="000C22BC"/>
    <w:rsid w:val="000C26AA"/>
    <w:rsid w:val="000C31F1"/>
    <w:rsid w:val="000C3F3F"/>
    <w:rsid w:val="000C4938"/>
    <w:rsid w:val="000C51DF"/>
    <w:rsid w:val="000C522E"/>
    <w:rsid w:val="000C5C04"/>
    <w:rsid w:val="000C5D21"/>
    <w:rsid w:val="000C6343"/>
    <w:rsid w:val="000C6421"/>
    <w:rsid w:val="000C71DF"/>
    <w:rsid w:val="000C7373"/>
    <w:rsid w:val="000C7694"/>
    <w:rsid w:val="000C7F40"/>
    <w:rsid w:val="000D01A7"/>
    <w:rsid w:val="000D01F2"/>
    <w:rsid w:val="000D0938"/>
    <w:rsid w:val="000D0F57"/>
    <w:rsid w:val="000D14C1"/>
    <w:rsid w:val="000D14E3"/>
    <w:rsid w:val="000D17BC"/>
    <w:rsid w:val="000D2401"/>
    <w:rsid w:val="000D29B3"/>
    <w:rsid w:val="000D2BEB"/>
    <w:rsid w:val="000D3232"/>
    <w:rsid w:val="000D3262"/>
    <w:rsid w:val="000D3A0C"/>
    <w:rsid w:val="000D3AE8"/>
    <w:rsid w:val="000D3D3A"/>
    <w:rsid w:val="000D3F95"/>
    <w:rsid w:val="000D3F97"/>
    <w:rsid w:val="000D4816"/>
    <w:rsid w:val="000D4B9C"/>
    <w:rsid w:val="000D4C48"/>
    <w:rsid w:val="000D4CAA"/>
    <w:rsid w:val="000D56DA"/>
    <w:rsid w:val="000D6307"/>
    <w:rsid w:val="000D6A7A"/>
    <w:rsid w:val="000D6F35"/>
    <w:rsid w:val="000D716C"/>
    <w:rsid w:val="000D7B56"/>
    <w:rsid w:val="000D7D20"/>
    <w:rsid w:val="000D7FC4"/>
    <w:rsid w:val="000E0065"/>
    <w:rsid w:val="000E0954"/>
    <w:rsid w:val="000E0BC5"/>
    <w:rsid w:val="000E20B8"/>
    <w:rsid w:val="000E297B"/>
    <w:rsid w:val="000E2DCE"/>
    <w:rsid w:val="000E35C1"/>
    <w:rsid w:val="000E37FE"/>
    <w:rsid w:val="000E3F97"/>
    <w:rsid w:val="000E4421"/>
    <w:rsid w:val="000E5206"/>
    <w:rsid w:val="000E5411"/>
    <w:rsid w:val="000E66FD"/>
    <w:rsid w:val="000E765E"/>
    <w:rsid w:val="000E780A"/>
    <w:rsid w:val="000E78E7"/>
    <w:rsid w:val="000E7C7D"/>
    <w:rsid w:val="000F068C"/>
    <w:rsid w:val="000F087F"/>
    <w:rsid w:val="000F0D9F"/>
    <w:rsid w:val="000F151B"/>
    <w:rsid w:val="000F1B2D"/>
    <w:rsid w:val="000F1F22"/>
    <w:rsid w:val="000F2619"/>
    <w:rsid w:val="000F3D38"/>
    <w:rsid w:val="000F4004"/>
    <w:rsid w:val="000F4120"/>
    <w:rsid w:val="000F455D"/>
    <w:rsid w:val="000F476F"/>
    <w:rsid w:val="000F4CCD"/>
    <w:rsid w:val="000F56DD"/>
    <w:rsid w:val="000F6298"/>
    <w:rsid w:val="000F6393"/>
    <w:rsid w:val="000F661D"/>
    <w:rsid w:val="000F68DE"/>
    <w:rsid w:val="000F69CA"/>
    <w:rsid w:val="000F6D47"/>
    <w:rsid w:val="000F76FE"/>
    <w:rsid w:val="000F79E6"/>
    <w:rsid w:val="0010024A"/>
    <w:rsid w:val="001005A4"/>
    <w:rsid w:val="001005E5"/>
    <w:rsid w:val="001007AC"/>
    <w:rsid w:val="00100840"/>
    <w:rsid w:val="00100AE8"/>
    <w:rsid w:val="001012F3"/>
    <w:rsid w:val="00101A2F"/>
    <w:rsid w:val="00101E5C"/>
    <w:rsid w:val="0010208D"/>
    <w:rsid w:val="0010248B"/>
    <w:rsid w:val="00102711"/>
    <w:rsid w:val="00102E33"/>
    <w:rsid w:val="00103133"/>
    <w:rsid w:val="00103796"/>
    <w:rsid w:val="0010385B"/>
    <w:rsid w:val="00104883"/>
    <w:rsid w:val="00104950"/>
    <w:rsid w:val="00104EAE"/>
    <w:rsid w:val="001055D3"/>
    <w:rsid w:val="00105933"/>
    <w:rsid w:val="00105F7F"/>
    <w:rsid w:val="00106F09"/>
    <w:rsid w:val="00107B8B"/>
    <w:rsid w:val="001100DB"/>
    <w:rsid w:val="001102D5"/>
    <w:rsid w:val="00111003"/>
    <w:rsid w:val="001112E9"/>
    <w:rsid w:val="0011152D"/>
    <w:rsid w:val="001116EC"/>
    <w:rsid w:val="0011188A"/>
    <w:rsid w:val="00111E25"/>
    <w:rsid w:val="00112522"/>
    <w:rsid w:val="00112534"/>
    <w:rsid w:val="001125F8"/>
    <w:rsid w:val="00112A45"/>
    <w:rsid w:val="001131F1"/>
    <w:rsid w:val="001132F0"/>
    <w:rsid w:val="001137E4"/>
    <w:rsid w:val="001138C6"/>
    <w:rsid w:val="00113E9B"/>
    <w:rsid w:val="00113FEB"/>
    <w:rsid w:val="00114773"/>
    <w:rsid w:val="00114CF5"/>
    <w:rsid w:val="00115334"/>
    <w:rsid w:val="001155E5"/>
    <w:rsid w:val="0011597C"/>
    <w:rsid w:val="00115995"/>
    <w:rsid w:val="001159EF"/>
    <w:rsid w:val="00117E44"/>
    <w:rsid w:val="00120043"/>
    <w:rsid w:val="001202A6"/>
    <w:rsid w:val="001206F9"/>
    <w:rsid w:val="00121217"/>
    <w:rsid w:val="001215BD"/>
    <w:rsid w:val="00122B1F"/>
    <w:rsid w:val="00122BB6"/>
    <w:rsid w:val="0012356A"/>
    <w:rsid w:val="001242B3"/>
    <w:rsid w:val="00125C8E"/>
    <w:rsid w:val="00126194"/>
    <w:rsid w:val="00126AA6"/>
    <w:rsid w:val="001278BC"/>
    <w:rsid w:val="00130478"/>
    <w:rsid w:val="0013069A"/>
    <w:rsid w:val="00130813"/>
    <w:rsid w:val="00130944"/>
    <w:rsid w:val="00130A2B"/>
    <w:rsid w:val="0013148B"/>
    <w:rsid w:val="001319E8"/>
    <w:rsid w:val="00131C3C"/>
    <w:rsid w:val="001327F0"/>
    <w:rsid w:val="00132FE2"/>
    <w:rsid w:val="0013503C"/>
    <w:rsid w:val="00135324"/>
    <w:rsid w:val="0013566C"/>
    <w:rsid w:val="0013664E"/>
    <w:rsid w:val="00136879"/>
    <w:rsid w:val="00136DE6"/>
    <w:rsid w:val="00137161"/>
    <w:rsid w:val="00137861"/>
    <w:rsid w:val="00137AEC"/>
    <w:rsid w:val="00137F14"/>
    <w:rsid w:val="00140E42"/>
    <w:rsid w:val="0014146C"/>
    <w:rsid w:val="00142175"/>
    <w:rsid w:val="001421AD"/>
    <w:rsid w:val="001422C6"/>
    <w:rsid w:val="0014240E"/>
    <w:rsid w:val="00143112"/>
    <w:rsid w:val="00143297"/>
    <w:rsid w:val="00143A15"/>
    <w:rsid w:val="00143A50"/>
    <w:rsid w:val="00143D42"/>
    <w:rsid w:val="00144968"/>
    <w:rsid w:val="001449E4"/>
    <w:rsid w:val="00144AD1"/>
    <w:rsid w:val="00145571"/>
    <w:rsid w:val="00146123"/>
    <w:rsid w:val="0014627E"/>
    <w:rsid w:val="00146D87"/>
    <w:rsid w:val="00147164"/>
    <w:rsid w:val="001471E5"/>
    <w:rsid w:val="00147790"/>
    <w:rsid w:val="001477C9"/>
    <w:rsid w:val="00147CBD"/>
    <w:rsid w:val="00150038"/>
    <w:rsid w:val="00150541"/>
    <w:rsid w:val="001510F3"/>
    <w:rsid w:val="001512D0"/>
    <w:rsid w:val="001517B4"/>
    <w:rsid w:val="0015218F"/>
    <w:rsid w:val="001527EE"/>
    <w:rsid w:val="00152859"/>
    <w:rsid w:val="00152A80"/>
    <w:rsid w:val="00152C64"/>
    <w:rsid w:val="0015361A"/>
    <w:rsid w:val="00153763"/>
    <w:rsid w:val="00153993"/>
    <w:rsid w:val="00153C28"/>
    <w:rsid w:val="00154233"/>
    <w:rsid w:val="00154438"/>
    <w:rsid w:val="001555A7"/>
    <w:rsid w:val="00155956"/>
    <w:rsid w:val="00155BAA"/>
    <w:rsid w:val="00155DAB"/>
    <w:rsid w:val="00155E55"/>
    <w:rsid w:val="00155F01"/>
    <w:rsid w:val="00156324"/>
    <w:rsid w:val="0015650D"/>
    <w:rsid w:val="001565EC"/>
    <w:rsid w:val="00157889"/>
    <w:rsid w:val="00157AB6"/>
    <w:rsid w:val="00157CB8"/>
    <w:rsid w:val="00157D3F"/>
    <w:rsid w:val="001600FA"/>
    <w:rsid w:val="001601F6"/>
    <w:rsid w:val="001606C1"/>
    <w:rsid w:val="00160AAE"/>
    <w:rsid w:val="001611F5"/>
    <w:rsid w:val="00161872"/>
    <w:rsid w:val="00161AB9"/>
    <w:rsid w:val="00161F63"/>
    <w:rsid w:val="001620EB"/>
    <w:rsid w:val="00162159"/>
    <w:rsid w:val="00162719"/>
    <w:rsid w:val="0016345B"/>
    <w:rsid w:val="001639D7"/>
    <w:rsid w:val="001668B2"/>
    <w:rsid w:val="0016698B"/>
    <w:rsid w:val="001671C5"/>
    <w:rsid w:val="00170B45"/>
    <w:rsid w:val="00172268"/>
    <w:rsid w:val="001728B1"/>
    <w:rsid w:val="00172B1A"/>
    <w:rsid w:val="00173496"/>
    <w:rsid w:val="001735BA"/>
    <w:rsid w:val="001738A3"/>
    <w:rsid w:val="00173CE3"/>
    <w:rsid w:val="001740C8"/>
    <w:rsid w:val="00174D52"/>
    <w:rsid w:val="001750E4"/>
    <w:rsid w:val="00175911"/>
    <w:rsid w:val="00175AF2"/>
    <w:rsid w:val="0017644C"/>
    <w:rsid w:val="0017654D"/>
    <w:rsid w:val="00177194"/>
    <w:rsid w:val="001776AC"/>
    <w:rsid w:val="0017782B"/>
    <w:rsid w:val="00177F6A"/>
    <w:rsid w:val="0018065F"/>
    <w:rsid w:val="0018082A"/>
    <w:rsid w:val="00180955"/>
    <w:rsid w:val="00180DE4"/>
    <w:rsid w:val="0018176F"/>
    <w:rsid w:val="00181AFD"/>
    <w:rsid w:val="00181C4C"/>
    <w:rsid w:val="001820A4"/>
    <w:rsid w:val="0018239A"/>
    <w:rsid w:val="00182E7B"/>
    <w:rsid w:val="001831B1"/>
    <w:rsid w:val="00183A62"/>
    <w:rsid w:val="00183A6B"/>
    <w:rsid w:val="00183D6E"/>
    <w:rsid w:val="00184C6C"/>
    <w:rsid w:val="001852EB"/>
    <w:rsid w:val="00185760"/>
    <w:rsid w:val="001858E8"/>
    <w:rsid w:val="00186C75"/>
    <w:rsid w:val="00186F47"/>
    <w:rsid w:val="001871CA"/>
    <w:rsid w:val="00187926"/>
    <w:rsid w:val="00187A4A"/>
    <w:rsid w:val="00190610"/>
    <w:rsid w:val="00190B8D"/>
    <w:rsid w:val="00190E7E"/>
    <w:rsid w:val="00190FD9"/>
    <w:rsid w:val="00191841"/>
    <w:rsid w:val="001918D4"/>
    <w:rsid w:val="00191B26"/>
    <w:rsid w:val="00191E34"/>
    <w:rsid w:val="001925E4"/>
    <w:rsid w:val="00193DA6"/>
    <w:rsid w:val="00193F81"/>
    <w:rsid w:val="00194874"/>
    <w:rsid w:val="00194E95"/>
    <w:rsid w:val="00194F4E"/>
    <w:rsid w:val="001950A4"/>
    <w:rsid w:val="00195194"/>
    <w:rsid w:val="00195522"/>
    <w:rsid w:val="001955F9"/>
    <w:rsid w:val="00195681"/>
    <w:rsid w:val="00195D1D"/>
    <w:rsid w:val="00195DC8"/>
    <w:rsid w:val="001965C6"/>
    <w:rsid w:val="00196D94"/>
    <w:rsid w:val="00196E56"/>
    <w:rsid w:val="001974A7"/>
    <w:rsid w:val="00197FAB"/>
    <w:rsid w:val="001A0019"/>
    <w:rsid w:val="001A007A"/>
    <w:rsid w:val="001A02F7"/>
    <w:rsid w:val="001A060B"/>
    <w:rsid w:val="001A0651"/>
    <w:rsid w:val="001A0905"/>
    <w:rsid w:val="001A0E62"/>
    <w:rsid w:val="001A0F23"/>
    <w:rsid w:val="001A11EB"/>
    <w:rsid w:val="001A1266"/>
    <w:rsid w:val="001A1B54"/>
    <w:rsid w:val="001A212E"/>
    <w:rsid w:val="001A2200"/>
    <w:rsid w:val="001A22A8"/>
    <w:rsid w:val="001A2458"/>
    <w:rsid w:val="001A2914"/>
    <w:rsid w:val="001A32F6"/>
    <w:rsid w:val="001A3F9B"/>
    <w:rsid w:val="001A40A7"/>
    <w:rsid w:val="001A4139"/>
    <w:rsid w:val="001A5AEA"/>
    <w:rsid w:val="001A5D6C"/>
    <w:rsid w:val="001A5E63"/>
    <w:rsid w:val="001A63FF"/>
    <w:rsid w:val="001A6845"/>
    <w:rsid w:val="001B05DC"/>
    <w:rsid w:val="001B1676"/>
    <w:rsid w:val="001B1918"/>
    <w:rsid w:val="001B19E6"/>
    <w:rsid w:val="001B1F4F"/>
    <w:rsid w:val="001B219A"/>
    <w:rsid w:val="001B2441"/>
    <w:rsid w:val="001B28C0"/>
    <w:rsid w:val="001B2922"/>
    <w:rsid w:val="001B3320"/>
    <w:rsid w:val="001B345A"/>
    <w:rsid w:val="001B3BA7"/>
    <w:rsid w:val="001B3E74"/>
    <w:rsid w:val="001B42B6"/>
    <w:rsid w:val="001B46D4"/>
    <w:rsid w:val="001B48CE"/>
    <w:rsid w:val="001B4933"/>
    <w:rsid w:val="001B4DAE"/>
    <w:rsid w:val="001B5119"/>
    <w:rsid w:val="001B532F"/>
    <w:rsid w:val="001B61DA"/>
    <w:rsid w:val="001B642C"/>
    <w:rsid w:val="001B659F"/>
    <w:rsid w:val="001B69EB"/>
    <w:rsid w:val="001B6DDC"/>
    <w:rsid w:val="001B70CD"/>
    <w:rsid w:val="001B750E"/>
    <w:rsid w:val="001B7802"/>
    <w:rsid w:val="001B7CF5"/>
    <w:rsid w:val="001B7F54"/>
    <w:rsid w:val="001C0792"/>
    <w:rsid w:val="001C0C7E"/>
    <w:rsid w:val="001C0D9C"/>
    <w:rsid w:val="001C1206"/>
    <w:rsid w:val="001C154A"/>
    <w:rsid w:val="001C282F"/>
    <w:rsid w:val="001C2905"/>
    <w:rsid w:val="001C306D"/>
    <w:rsid w:val="001C32E8"/>
    <w:rsid w:val="001C372B"/>
    <w:rsid w:val="001C3E4B"/>
    <w:rsid w:val="001C41F3"/>
    <w:rsid w:val="001C4207"/>
    <w:rsid w:val="001C44F8"/>
    <w:rsid w:val="001C450E"/>
    <w:rsid w:val="001C4634"/>
    <w:rsid w:val="001C479A"/>
    <w:rsid w:val="001C47DA"/>
    <w:rsid w:val="001C4903"/>
    <w:rsid w:val="001C5039"/>
    <w:rsid w:val="001C5144"/>
    <w:rsid w:val="001C51F2"/>
    <w:rsid w:val="001C5280"/>
    <w:rsid w:val="001C578D"/>
    <w:rsid w:val="001C5E90"/>
    <w:rsid w:val="001C5F0F"/>
    <w:rsid w:val="001C61DF"/>
    <w:rsid w:val="001C6AB0"/>
    <w:rsid w:val="001C6B84"/>
    <w:rsid w:val="001C6C02"/>
    <w:rsid w:val="001C727F"/>
    <w:rsid w:val="001C74A7"/>
    <w:rsid w:val="001C799B"/>
    <w:rsid w:val="001D0119"/>
    <w:rsid w:val="001D026C"/>
    <w:rsid w:val="001D0525"/>
    <w:rsid w:val="001D1E36"/>
    <w:rsid w:val="001D2114"/>
    <w:rsid w:val="001D216B"/>
    <w:rsid w:val="001D2484"/>
    <w:rsid w:val="001D2B99"/>
    <w:rsid w:val="001D2FB3"/>
    <w:rsid w:val="001D4577"/>
    <w:rsid w:val="001D4709"/>
    <w:rsid w:val="001D4C24"/>
    <w:rsid w:val="001D5212"/>
    <w:rsid w:val="001D5359"/>
    <w:rsid w:val="001D5457"/>
    <w:rsid w:val="001D58F3"/>
    <w:rsid w:val="001D5CAF"/>
    <w:rsid w:val="001D62C5"/>
    <w:rsid w:val="001D66D1"/>
    <w:rsid w:val="001D6998"/>
    <w:rsid w:val="001D7076"/>
    <w:rsid w:val="001D7A90"/>
    <w:rsid w:val="001D7BF6"/>
    <w:rsid w:val="001D7F35"/>
    <w:rsid w:val="001E01E7"/>
    <w:rsid w:val="001E0566"/>
    <w:rsid w:val="001E0897"/>
    <w:rsid w:val="001E09EE"/>
    <w:rsid w:val="001E0BDC"/>
    <w:rsid w:val="001E1179"/>
    <w:rsid w:val="001E179B"/>
    <w:rsid w:val="001E206F"/>
    <w:rsid w:val="001E2C7A"/>
    <w:rsid w:val="001E31D6"/>
    <w:rsid w:val="001E331E"/>
    <w:rsid w:val="001E333F"/>
    <w:rsid w:val="001E372B"/>
    <w:rsid w:val="001E438A"/>
    <w:rsid w:val="001E46DC"/>
    <w:rsid w:val="001E4777"/>
    <w:rsid w:val="001E4CF8"/>
    <w:rsid w:val="001E5553"/>
    <w:rsid w:val="001E56E6"/>
    <w:rsid w:val="001E5E28"/>
    <w:rsid w:val="001E6190"/>
    <w:rsid w:val="001E64CC"/>
    <w:rsid w:val="001E6CD9"/>
    <w:rsid w:val="001E70BC"/>
    <w:rsid w:val="001F0DA0"/>
    <w:rsid w:val="001F1307"/>
    <w:rsid w:val="001F15B4"/>
    <w:rsid w:val="001F19E8"/>
    <w:rsid w:val="001F20DF"/>
    <w:rsid w:val="001F2199"/>
    <w:rsid w:val="001F2A55"/>
    <w:rsid w:val="001F2B27"/>
    <w:rsid w:val="001F2B6A"/>
    <w:rsid w:val="001F2B99"/>
    <w:rsid w:val="001F36F5"/>
    <w:rsid w:val="001F46C3"/>
    <w:rsid w:val="001F4A54"/>
    <w:rsid w:val="001F4CF8"/>
    <w:rsid w:val="001F4D38"/>
    <w:rsid w:val="001F4D8E"/>
    <w:rsid w:val="001F5AAD"/>
    <w:rsid w:val="001F5BA4"/>
    <w:rsid w:val="001F665A"/>
    <w:rsid w:val="001F6D72"/>
    <w:rsid w:val="001F7351"/>
    <w:rsid w:val="001F7973"/>
    <w:rsid w:val="0020006E"/>
    <w:rsid w:val="002002D1"/>
    <w:rsid w:val="002009C5"/>
    <w:rsid w:val="00200A1F"/>
    <w:rsid w:val="00201075"/>
    <w:rsid w:val="00201216"/>
    <w:rsid w:val="00201494"/>
    <w:rsid w:val="002014B6"/>
    <w:rsid w:val="00201816"/>
    <w:rsid w:val="0020221F"/>
    <w:rsid w:val="00202320"/>
    <w:rsid w:val="00202929"/>
    <w:rsid w:val="002030D1"/>
    <w:rsid w:val="00203100"/>
    <w:rsid w:val="00204117"/>
    <w:rsid w:val="00204F90"/>
    <w:rsid w:val="00205004"/>
    <w:rsid w:val="00205156"/>
    <w:rsid w:val="0020516F"/>
    <w:rsid w:val="002051E0"/>
    <w:rsid w:val="002056DE"/>
    <w:rsid w:val="002063B0"/>
    <w:rsid w:val="00206C94"/>
    <w:rsid w:val="00207216"/>
    <w:rsid w:val="002072F1"/>
    <w:rsid w:val="00207605"/>
    <w:rsid w:val="00207735"/>
    <w:rsid w:val="002101B5"/>
    <w:rsid w:val="00210552"/>
    <w:rsid w:val="00210FAB"/>
    <w:rsid w:val="002115C6"/>
    <w:rsid w:val="00211838"/>
    <w:rsid w:val="00212474"/>
    <w:rsid w:val="00212AFC"/>
    <w:rsid w:val="00212B64"/>
    <w:rsid w:val="00212B85"/>
    <w:rsid w:val="00213274"/>
    <w:rsid w:val="0021365D"/>
    <w:rsid w:val="00213D5C"/>
    <w:rsid w:val="00213E39"/>
    <w:rsid w:val="00214442"/>
    <w:rsid w:val="002145F2"/>
    <w:rsid w:val="00214680"/>
    <w:rsid w:val="00214811"/>
    <w:rsid w:val="00214AF5"/>
    <w:rsid w:val="00214D68"/>
    <w:rsid w:val="0021523F"/>
    <w:rsid w:val="002155CC"/>
    <w:rsid w:val="00215900"/>
    <w:rsid w:val="00215934"/>
    <w:rsid w:val="00215A6E"/>
    <w:rsid w:val="00215A99"/>
    <w:rsid w:val="00215AF8"/>
    <w:rsid w:val="00215DED"/>
    <w:rsid w:val="00215E45"/>
    <w:rsid w:val="00216317"/>
    <w:rsid w:val="002166E5"/>
    <w:rsid w:val="002167A9"/>
    <w:rsid w:val="00216E2E"/>
    <w:rsid w:val="00217C1B"/>
    <w:rsid w:val="002203B1"/>
    <w:rsid w:val="00220AF4"/>
    <w:rsid w:val="00220C88"/>
    <w:rsid w:val="00220D50"/>
    <w:rsid w:val="00221BDC"/>
    <w:rsid w:val="002237D3"/>
    <w:rsid w:val="00223A65"/>
    <w:rsid w:val="00223B74"/>
    <w:rsid w:val="0022439A"/>
    <w:rsid w:val="002243ED"/>
    <w:rsid w:val="00224633"/>
    <w:rsid w:val="00224756"/>
    <w:rsid w:val="00224CD3"/>
    <w:rsid w:val="00227680"/>
    <w:rsid w:val="002277E8"/>
    <w:rsid w:val="00227800"/>
    <w:rsid w:val="00227E7D"/>
    <w:rsid w:val="00231E3E"/>
    <w:rsid w:val="00231FB0"/>
    <w:rsid w:val="002320CC"/>
    <w:rsid w:val="002321F8"/>
    <w:rsid w:val="002323EC"/>
    <w:rsid w:val="002327C1"/>
    <w:rsid w:val="00232B6D"/>
    <w:rsid w:val="00233433"/>
    <w:rsid w:val="0023347E"/>
    <w:rsid w:val="00233D2E"/>
    <w:rsid w:val="00234617"/>
    <w:rsid w:val="002348BB"/>
    <w:rsid w:val="00234AA8"/>
    <w:rsid w:val="00234C90"/>
    <w:rsid w:val="00235123"/>
    <w:rsid w:val="00235466"/>
    <w:rsid w:val="0023550B"/>
    <w:rsid w:val="00235B59"/>
    <w:rsid w:val="00235D31"/>
    <w:rsid w:val="00236B1F"/>
    <w:rsid w:val="00236C27"/>
    <w:rsid w:val="00237503"/>
    <w:rsid w:val="002375CA"/>
    <w:rsid w:val="00237886"/>
    <w:rsid w:val="0023791D"/>
    <w:rsid w:val="00237BDF"/>
    <w:rsid w:val="00237C08"/>
    <w:rsid w:val="00237E34"/>
    <w:rsid w:val="00240A9D"/>
    <w:rsid w:val="00240BDE"/>
    <w:rsid w:val="00240DAC"/>
    <w:rsid w:val="00241889"/>
    <w:rsid w:val="00241D7D"/>
    <w:rsid w:val="00241FE0"/>
    <w:rsid w:val="002431F1"/>
    <w:rsid w:val="002432E7"/>
    <w:rsid w:val="00243C51"/>
    <w:rsid w:val="00243D65"/>
    <w:rsid w:val="0024413C"/>
    <w:rsid w:val="0024465B"/>
    <w:rsid w:val="0024471F"/>
    <w:rsid w:val="00244ABB"/>
    <w:rsid w:val="00244DA5"/>
    <w:rsid w:val="00245359"/>
    <w:rsid w:val="002454B3"/>
    <w:rsid w:val="002459D3"/>
    <w:rsid w:val="00245CFF"/>
    <w:rsid w:val="00246DED"/>
    <w:rsid w:val="00246ED4"/>
    <w:rsid w:val="00247983"/>
    <w:rsid w:val="00247A0C"/>
    <w:rsid w:val="00247A4C"/>
    <w:rsid w:val="0025123F"/>
    <w:rsid w:val="0025155F"/>
    <w:rsid w:val="00251B6F"/>
    <w:rsid w:val="00251C84"/>
    <w:rsid w:val="00251E8C"/>
    <w:rsid w:val="0025218B"/>
    <w:rsid w:val="0025300E"/>
    <w:rsid w:val="002531FC"/>
    <w:rsid w:val="00253397"/>
    <w:rsid w:val="0025359F"/>
    <w:rsid w:val="00253B61"/>
    <w:rsid w:val="00253CB8"/>
    <w:rsid w:val="00253F6F"/>
    <w:rsid w:val="00254408"/>
    <w:rsid w:val="00255082"/>
    <w:rsid w:val="002554E8"/>
    <w:rsid w:val="00255939"/>
    <w:rsid w:val="00255D03"/>
    <w:rsid w:val="00256DDD"/>
    <w:rsid w:val="00256F41"/>
    <w:rsid w:val="00257277"/>
    <w:rsid w:val="002579E0"/>
    <w:rsid w:val="002609F7"/>
    <w:rsid w:val="00261BC0"/>
    <w:rsid w:val="00261C79"/>
    <w:rsid w:val="00262106"/>
    <w:rsid w:val="00263506"/>
    <w:rsid w:val="002644A4"/>
    <w:rsid w:val="00264A94"/>
    <w:rsid w:val="00265918"/>
    <w:rsid w:val="00265BE4"/>
    <w:rsid w:val="00265D1A"/>
    <w:rsid w:val="00267149"/>
    <w:rsid w:val="0026717D"/>
    <w:rsid w:val="00267350"/>
    <w:rsid w:val="00267495"/>
    <w:rsid w:val="00267DBD"/>
    <w:rsid w:val="00267DC8"/>
    <w:rsid w:val="002700E1"/>
    <w:rsid w:val="002702F6"/>
    <w:rsid w:val="00270AD0"/>
    <w:rsid w:val="00271E59"/>
    <w:rsid w:val="00271F9C"/>
    <w:rsid w:val="0027215C"/>
    <w:rsid w:val="00272328"/>
    <w:rsid w:val="00272665"/>
    <w:rsid w:val="00272BF6"/>
    <w:rsid w:val="00272E5C"/>
    <w:rsid w:val="00272F0F"/>
    <w:rsid w:val="002730B6"/>
    <w:rsid w:val="002733BC"/>
    <w:rsid w:val="002737DD"/>
    <w:rsid w:val="00273BF2"/>
    <w:rsid w:val="002740E6"/>
    <w:rsid w:val="00274584"/>
    <w:rsid w:val="0027490B"/>
    <w:rsid w:val="00274C29"/>
    <w:rsid w:val="00275673"/>
    <w:rsid w:val="00275D61"/>
    <w:rsid w:val="00275FE2"/>
    <w:rsid w:val="0027608C"/>
    <w:rsid w:val="00276132"/>
    <w:rsid w:val="002768F0"/>
    <w:rsid w:val="00276B41"/>
    <w:rsid w:val="002776B0"/>
    <w:rsid w:val="002777F9"/>
    <w:rsid w:val="00277904"/>
    <w:rsid w:val="00277B74"/>
    <w:rsid w:val="00277E61"/>
    <w:rsid w:val="00280EF2"/>
    <w:rsid w:val="00281AC9"/>
    <w:rsid w:val="00281EFE"/>
    <w:rsid w:val="00282064"/>
    <w:rsid w:val="002829BA"/>
    <w:rsid w:val="002831C9"/>
    <w:rsid w:val="002834BE"/>
    <w:rsid w:val="002836B4"/>
    <w:rsid w:val="00283817"/>
    <w:rsid w:val="00283C87"/>
    <w:rsid w:val="002841B4"/>
    <w:rsid w:val="002847A7"/>
    <w:rsid w:val="00284E84"/>
    <w:rsid w:val="0028518B"/>
    <w:rsid w:val="002862B9"/>
    <w:rsid w:val="00286482"/>
    <w:rsid w:val="002865B8"/>
    <w:rsid w:val="00287608"/>
    <w:rsid w:val="002876D7"/>
    <w:rsid w:val="002878ED"/>
    <w:rsid w:val="00287B70"/>
    <w:rsid w:val="00290589"/>
    <w:rsid w:val="00290A8D"/>
    <w:rsid w:val="00290FEA"/>
    <w:rsid w:val="002925B1"/>
    <w:rsid w:val="00292857"/>
    <w:rsid w:val="00292BE0"/>
    <w:rsid w:val="00292DBB"/>
    <w:rsid w:val="00292F24"/>
    <w:rsid w:val="002941F7"/>
    <w:rsid w:val="00294682"/>
    <w:rsid w:val="00294D78"/>
    <w:rsid w:val="00295896"/>
    <w:rsid w:val="00295E12"/>
    <w:rsid w:val="00296199"/>
    <w:rsid w:val="002963AA"/>
    <w:rsid w:val="00296495"/>
    <w:rsid w:val="002969B6"/>
    <w:rsid w:val="00297119"/>
    <w:rsid w:val="002978CA"/>
    <w:rsid w:val="0029790F"/>
    <w:rsid w:val="00297CB5"/>
    <w:rsid w:val="00297CE6"/>
    <w:rsid w:val="002A0010"/>
    <w:rsid w:val="002A04B1"/>
    <w:rsid w:val="002A0BE3"/>
    <w:rsid w:val="002A0CA3"/>
    <w:rsid w:val="002A16AF"/>
    <w:rsid w:val="002A198C"/>
    <w:rsid w:val="002A21A1"/>
    <w:rsid w:val="002A29E7"/>
    <w:rsid w:val="002A351A"/>
    <w:rsid w:val="002A3983"/>
    <w:rsid w:val="002A3ACB"/>
    <w:rsid w:val="002A41FC"/>
    <w:rsid w:val="002A4AF8"/>
    <w:rsid w:val="002A5159"/>
    <w:rsid w:val="002A517A"/>
    <w:rsid w:val="002A5347"/>
    <w:rsid w:val="002A556D"/>
    <w:rsid w:val="002A6715"/>
    <w:rsid w:val="002A6812"/>
    <w:rsid w:val="002A6834"/>
    <w:rsid w:val="002A6E9C"/>
    <w:rsid w:val="002A7A84"/>
    <w:rsid w:val="002B0244"/>
    <w:rsid w:val="002B0A62"/>
    <w:rsid w:val="002B0CF8"/>
    <w:rsid w:val="002B106D"/>
    <w:rsid w:val="002B13A1"/>
    <w:rsid w:val="002B1C0F"/>
    <w:rsid w:val="002B1DBE"/>
    <w:rsid w:val="002B1E56"/>
    <w:rsid w:val="002B23D8"/>
    <w:rsid w:val="002B26D1"/>
    <w:rsid w:val="002B2B51"/>
    <w:rsid w:val="002B334F"/>
    <w:rsid w:val="002B35F9"/>
    <w:rsid w:val="002B4378"/>
    <w:rsid w:val="002B4763"/>
    <w:rsid w:val="002B4C60"/>
    <w:rsid w:val="002B4F6A"/>
    <w:rsid w:val="002B51DA"/>
    <w:rsid w:val="002B59D9"/>
    <w:rsid w:val="002B5B68"/>
    <w:rsid w:val="002B6027"/>
    <w:rsid w:val="002B6DCF"/>
    <w:rsid w:val="002B7845"/>
    <w:rsid w:val="002C0BB0"/>
    <w:rsid w:val="002C1335"/>
    <w:rsid w:val="002C15FA"/>
    <w:rsid w:val="002C1DFE"/>
    <w:rsid w:val="002C2B19"/>
    <w:rsid w:val="002C2B78"/>
    <w:rsid w:val="002C2CA4"/>
    <w:rsid w:val="002C319F"/>
    <w:rsid w:val="002C3213"/>
    <w:rsid w:val="002C36C6"/>
    <w:rsid w:val="002C383C"/>
    <w:rsid w:val="002C3B00"/>
    <w:rsid w:val="002C3E4C"/>
    <w:rsid w:val="002C3FFD"/>
    <w:rsid w:val="002C533C"/>
    <w:rsid w:val="002C54DD"/>
    <w:rsid w:val="002C54E7"/>
    <w:rsid w:val="002C6AE7"/>
    <w:rsid w:val="002C79E7"/>
    <w:rsid w:val="002C7CA6"/>
    <w:rsid w:val="002C7E87"/>
    <w:rsid w:val="002C7F02"/>
    <w:rsid w:val="002D0807"/>
    <w:rsid w:val="002D090D"/>
    <w:rsid w:val="002D0C06"/>
    <w:rsid w:val="002D12E9"/>
    <w:rsid w:val="002D161B"/>
    <w:rsid w:val="002D1986"/>
    <w:rsid w:val="002D22F0"/>
    <w:rsid w:val="002D254D"/>
    <w:rsid w:val="002D2A03"/>
    <w:rsid w:val="002D3177"/>
    <w:rsid w:val="002D3482"/>
    <w:rsid w:val="002D4386"/>
    <w:rsid w:val="002D52AE"/>
    <w:rsid w:val="002D5784"/>
    <w:rsid w:val="002D596A"/>
    <w:rsid w:val="002D5A55"/>
    <w:rsid w:val="002D6039"/>
    <w:rsid w:val="002D6406"/>
    <w:rsid w:val="002D6843"/>
    <w:rsid w:val="002D6B91"/>
    <w:rsid w:val="002D6BAF"/>
    <w:rsid w:val="002E0CFA"/>
    <w:rsid w:val="002E1F9A"/>
    <w:rsid w:val="002E1FA8"/>
    <w:rsid w:val="002E23A4"/>
    <w:rsid w:val="002E24D9"/>
    <w:rsid w:val="002E2688"/>
    <w:rsid w:val="002E27B5"/>
    <w:rsid w:val="002E29C6"/>
    <w:rsid w:val="002E3DA3"/>
    <w:rsid w:val="002E4159"/>
    <w:rsid w:val="002E490C"/>
    <w:rsid w:val="002E4C62"/>
    <w:rsid w:val="002E565C"/>
    <w:rsid w:val="002E5A99"/>
    <w:rsid w:val="002E5CB9"/>
    <w:rsid w:val="002E5FD9"/>
    <w:rsid w:val="002E6244"/>
    <w:rsid w:val="002E654A"/>
    <w:rsid w:val="002E65AB"/>
    <w:rsid w:val="002E6C46"/>
    <w:rsid w:val="002E7728"/>
    <w:rsid w:val="002E78E3"/>
    <w:rsid w:val="002F0CED"/>
    <w:rsid w:val="002F1943"/>
    <w:rsid w:val="002F1C84"/>
    <w:rsid w:val="002F2137"/>
    <w:rsid w:val="002F2244"/>
    <w:rsid w:val="002F2A27"/>
    <w:rsid w:val="002F2A87"/>
    <w:rsid w:val="002F2E3C"/>
    <w:rsid w:val="002F2F59"/>
    <w:rsid w:val="002F30F0"/>
    <w:rsid w:val="002F3D5D"/>
    <w:rsid w:val="002F3FDB"/>
    <w:rsid w:val="002F446C"/>
    <w:rsid w:val="002F4A75"/>
    <w:rsid w:val="002F4D28"/>
    <w:rsid w:val="002F5387"/>
    <w:rsid w:val="002F58BC"/>
    <w:rsid w:val="002F59F2"/>
    <w:rsid w:val="002F5A97"/>
    <w:rsid w:val="002F5BB9"/>
    <w:rsid w:val="002F600C"/>
    <w:rsid w:val="002F646D"/>
    <w:rsid w:val="002F65BF"/>
    <w:rsid w:val="002F7A80"/>
    <w:rsid w:val="003005CE"/>
    <w:rsid w:val="0030128A"/>
    <w:rsid w:val="00301440"/>
    <w:rsid w:val="00302094"/>
    <w:rsid w:val="0030277F"/>
    <w:rsid w:val="003027B5"/>
    <w:rsid w:val="003034E1"/>
    <w:rsid w:val="00303E6F"/>
    <w:rsid w:val="00303E97"/>
    <w:rsid w:val="00304456"/>
    <w:rsid w:val="003044D4"/>
    <w:rsid w:val="003045A9"/>
    <w:rsid w:val="00304E88"/>
    <w:rsid w:val="00305776"/>
    <w:rsid w:val="00305D35"/>
    <w:rsid w:val="00305DA4"/>
    <w:rsid w:val="00306529"/>
    <w:rsid w:val="003066B9"/>
    <w:rsid w:val="003069F7"/>
    <w:rsid w:val="00306AF5"/>
    <w:rsid w:val="00306C1C"/>
    <w:rsid w:val="0030713A"/>
    <w:rsid w:val="00307D8D"/>
    <w:rsid w:val="00311D0B"/>
    <w:rsid w:val="00311E2B"/>
    <w:rsid w:val="00312916"/>
    <w:rsid w:val="00312D82"/>
    <w:rsid w:val="00313088"/>
    <w:rsid w:val="00313462"/>
    <w:rsid w:val="003134E0"/>
    <w:rsid w:val="0031406B"/>
    <w:rsid w:val="003148F7"/>
    <w:rsid w:val="003151B4"/>
    <w:rsid w:val="003151BB"/>
    <w:rsid w:val="003153C2"/>
    <w:rsid w:val="003155AD"/>
    <w:rsid w:val="00315C37"/>
    <w:rsid w:val="00316571"/>
    <w:rsid w:val="0031662E"/>
    <w:rsid w:val="00316ED7"/>
    <w:rsid w:val="003175C9"/>
    <w:rsid w:val="00317838"/>
    <w:rsid w:val="00317E46"/>
    <w:rsid w:val="00320447"/>
    <w:rsid w:val="0032075F"/>
    <w:rsid w:val="0032287F"/>
    <w:rsid w:val="003235B0"/>
    <w:rsid w:val="00323D29"/>
    <w:rsid w:val="00324365"/>
    <w:rsid w:val="00324614"/>
    <w:rsid w:val="003246BC"/>
    <w:rsid w:val="003249C4"/>
    <w:rsid w:val="00325287"/>
    <w:rsid w:val="003253CD"/>
    <w:rsid w:val="0032569E"/>
    <w:rsid w:val="00325D81"/>
    <w:rsid w:val="00326161"/>
    <w:rsid w:val="00326245"/>
    <w:rsid w:val="00326874"/>
    <w:rsid w:val="00326926"/>
    <w:rsid w:val="00326AEB"/>
    <w:rsid w:val="00326B4D"/>
    <w:rsid w:val="00327955"/>
    <w:rsid w:val="00327AAB"/>
    <w:rsid w:val="003306F4"/>
    <w:rsid w:val="00330E91"/>
    <w:rsid w:val="0033105B"/>
    <w:rsid w:val="00331CFB"/>
    <w:rsid w:val="00332531"/>
    <w:rsid w:val="00332D91"/>
    <w:rsid w:val="00333AAC"/>
    <w:rsid w:val="00333BC4"/>
    <w:rsid w:val="00334A34"/>
    <w:rsid w:val="00334B32"/>
    <w:rsid w:val="003355DF"/>
    <w:rsid w:val="00335714"/>
    <w:rsid w:val="00335786"/>
    <w:rsid w:val="00335D2F"/>
    <w:rsid w:val="00336942"/>
    <w:rsid w:val="00336A18"/>
    <w:rsid w:val="00336CBE"/>
    <w:rsid w:val="00336DA5"/>
    <w:rsid w:val="00340206"/>
    <w:rsid w:val="00340519"/>
    <w:rsid w:val="00340724"/>
    <w:rsid w:val="003413DF"/>
    <w:rsid w:val="00341647"/>
    <w:rsid w:val="00342CE9"/>
    <w:rsid w:val="00342F12"/>
    <w:rsid w:val="003435F7"/>
    <w:rsid w:val="003436DC"/>
    <w:rsid w:val="0034389E"/>
    <w:rsid w:val="00344C03"/>
    <w:rsid w:val="003456A6"/>
    <w:rsid w:val="00345F55"/>
    <w:rsid w:val="0034667E"/>
    <w:rsid w:val="003466BC"/>
    <w:rsid w:val="00346D41"/>
    <w:rsid w:val="003474E1"/>
    <w:rsid w:val="00347ABB"/>
    <w:rsid w:val="00347F12"/>
    <w:rsid w:val="003504A7"/>
    <w:rsid w:val="0035071C"/>
    <w:rsid w:val="00350FC2"/>
    <w:rsid w:val="003512E0"/>
    <w:rsid w:val="00351DBE"/>
    <w:rsid w:val="0035256B"/>
    <w:rsid w:val="00352A93"/>
    <w:rsid w:val="00352C11"/>
    <w:rsid w:val="00352D87"/>
    <w:rsid w:val="00353E73"/>
    <w:rsid w:val="00354016"/>
    <w:rsid w:val="00355848"/>
    <w:rsid w:val="00355917"/>
    <w:rsid w:val="00355B6C"/>
    <w:rsid w:val="003560E6"/>
    <w:rsid w:val="003565B9"/>
    <w:rsid w:val="003565D8"/>
    <w:rsid w:val="003566A3"/>
    <w:rsid w:val="00356AC2"/>
    <w:rsid w:val="00356DE5"/>
    <w:rsid w:val="00356E80"/>
    <w:rsid w:val="00357398"/>
    <w:rsid w:val="003607C0"/>
    <w:rsid w:val="003610AB"/>
    <w:rsid w:val="00361288"/>
    <w:rsid w:val="00361AF1"/>
    <w:rsid w:val="0036388F"/>
    <w:rsid w:val="00363BDE"/>
    <w:rsid w:val="00364882"/>
    <w:rsid w:val="00364C00"/>
    <w:rsid w:val="00364D65"/>
    <w:rsid w:val="00365D07"/>
    <w:rsid w:val="00366529"/>
    <w:rsid w:val="003666C5"/>
    <w:rsid w:val="003666E2"/>
    <w:rsid w:val="0036731F"/>
    <w:rsid w:val="003675B0"/>
    <w:rsid w:val="00367BBD"/>
    <w:rsid w:val="00367D49"/>
    <w:rsid w:val="003707AB"/>
    <w:rsid w:val="00370F19"/>
    <w:rsid w:val="00371178"/>
    <w:rsid w:val="00371696"/>
    <w:rsid w:val="00371ACD"/>
    <w:rsid w:val="00372FCC"/>
    <w:rsid w:val="003730CD"/>
    <w:rsid w:val="00373163"/>
    <w:rsid w:val="003733D1"/>
    <w:rsid w:val="003737E2"/>
    <w:rsid w:val="00373C06"/>
    <w:rsid w:val="00373EA9"/>
    <w:rsid w:val="0037403D"/>
    <w:rsid w:val="003746D1"/>
    <w:rsid w:val="00374A83"/>
    <w:rsid w:val="00374D9C"/>
    <w:rsid w:val="00374E4D"/>
    <w:rsid w:val="00375D4D"/>
    <w:rsid w:val="0037608D"/>
    <w:rsid w:val="00376987"/>
    <w:rsid w:val="0038017E"/>
    <w:rsid w:val="00380379"/>
    <w:rsid w:val="00380435"/>
    <w:rsid w:val="003808E7"/>
    <w:rsid w:val="003808F3"/>
    <w:rsid w:val="0038103B"/>
    <w:rsid w:val="00381331"/>
    <w:rsid w:val="00381913"/>
    <w:rsid w:val="00381CE6"/>
    <w:rsid w:val="0038224A"/>
    <w:rsid w:val="0038282B"/>
    <w:rsid w:val="00383613"/>
    <w:rsid w:val="00384399"/>
    <w:rsid w:val="00384EBD"/>
    <w:rsid w:val="00386527"/>
    <w:rsid w:val="00386C48"/>
    <w:rsid w:val="00386CBA"/>
    <w:rsid w:val="00386E6E"/>
    <w:rsid w:val="00386FCC"/>
    <w:rsid w:val="003872B7"/>
    <w:rsid w:val="003874DC"/>
    <w:rsid w:val="003876DB"/>
    <w:rsid w:val="00390233"/>
    <w:rsid w:val="00390520"/>
    <w:rsid w:val="003905EE"/>
    <w:rsid w:val="00390C73"/>
    <w:rsid w:val="00390CAD"/>
    <w:rsid w:val="00390E2B"/>
    <w:rsid w:val="003910A4"/>
    <w:rsid w:val="00391B17"/>
    <w:rsid w:val="00391B37"/>
    <w:rsid w:val="00391F77"/>
    <w:rsid w:val="003920C6"/>
    <w:rsid w:val="00392426"/>
    <w:rsid w:val="00392B6F"/>
    <w:rsid w:val="003932AA"/>
    <w:rsid w:val="003940F6"/>
    <w:rsid w:val="0039455B"/>
    <w:rsid w:val="00394663"/>
    <w:rsid w:val="003949FF"/>
    <w:rsid w:val="00394AB9"/>
    <w:rsid w:val="00394E00"/>
    <w:rsid w:val="00395014"/>
    <w:rsid w:val="003952F2"/>
    <w:rsid w:val="00395774"/>
    <w:rsid w:val="00395C4A"/>
    <w:rsid w:val="0039694E"/>
    <w:rsid w:val="00396F43"/>
    <w:rsid w:val="003977CC"/>
    <w:rsid w:val="003A12FB"/>
    <w:rsid w:val="003A2A17"/>
    <w:rsid w:val="003A2ED7"/>
    <w:rsid w:val="003A300C"/>
    <w:rsid w:val="003A32ED"/>
    <w:rsid w:val="003A38F9"/>
    <w:rsid w:val="003A3B52"/>
    <w:rsid w:val="003A4C72"/>
    <w:rsid w:val="003A5C4F"/>
    <w:rsid w:val="003A5F12"/>
    <w:rsid w:val="003A5F7A"/>
    <w:rsid w:val="003A6022"/>
    <w:rsid w:val="003A6CDC"/>
    <w:rsid w:val="003A6ECC"/>
    <w:rsid w:val="003A77C8"/>
    <w:rsid w:val="003A78BA"/>
    <w:rsid w:val="003A7BCA"/>
    <w:rsid w:val="003A7C94"/>
    <w:rsid w:val="003B133F"/>
    <w:rsid w:val="003B195D"/>
    <w:rsid w:val="003B1B2D"/>
    <w:rsid w:val="003B1BF6"/>
    <w:rsid w:val="003B237F"/>
    <w:rsid w:val="003B299D"/>
    <w:rsid w:val="003B2DB3"/>
    <w:rsid w:val="003B3D23"/>
    <w:rsid w:val="003B451E"/>
    <w:rsid w:val="003B482E"/>
    <w:rsid w:val="003B5416"/>
    <w:rsid w:val="003B5551"/>
    <w:rsid w:val="003B6844"/>
    <w:rsid w:val="003B6AA0"/>
    <w:rsid w:val="003B6ABF"/>
    <w:rsid w:val="003B6B75"/>
    <w:rsid w:val="003B73B3"/>
    <w:rsid w:val="003B74EA"/>
    <w:rsid w:val="003B7A51"/>
    <w:rsid w:val="003B7D2B"/>
    <w:rsid w:val="003B7F16"/>
    <w:rsid w:val="003C01A6"/>
    <w:rsid w:val="003C0822"/>
    <w:rsid w:val="003C0EA5"/>
    <w:rsid w:val="003C106F"/>
    <w:rsid w:val="003C10CF"/>
    <w:rsid w:val="003C1111"/>
    <w:rsid w:val="003C116E"/>
    <w:rsid w:val="003C1261"/>
    <w:rsid w:val="003C1383"/>
    <w:rsid w:val="003C1710"/>
    <w:rsid w:val="003C1868"/>
    <w:rsid w:val="003C1EF1"/>
    <w:rsid w:val="003C2279"/>
    <w:rsid w:val="003C305F"/>
    <w:rsid w:val="003C3175"/>
    <w:rsid w:val="003C3645"/>
    <w:rsid w:val="003C3A31"/>
    <w:rsid w:val="003C4298"/>
    <w:rsid w:val="003C4C99"/>
    <w:rsid w:val="003C5C24"/>
    <w:rsid w:val="003C6F2B"/>
    <w:rsid w:val="003C71AF"/>
    <w:rsid w:val="003C7406"/>
    <w:rsid w:val="003C79C3"/>
    <w:rsid w:val="003C7F1E"/>
    <w:rsid w:val="003C7FBD"/>
    <w:rsid w:val="003D07F0"/>
    <w:rsid w:val="003D0D72"/>
    <w:rsid w:val="003D0F35"/>
    <w:rsid w:val="003D10B4"/>
    <w:rsid w:val="003D1358"/>
    <w:rsid w:val="003D2763"/>
    <w:rsid w:val="003D2D6D"/>
    <w:rsid w:val="003D2E00"/>
    <w:rsid w:val="003D4FD2"/>
    <w:rsid w:val="003D57C7"/>
    <w:rsid w:val="003D5B3A"/>
    <w:rsid w:val="003D5CA8"/>
    <w:rsid w:val="003D5E24"/>
    <w:rsid w:val="003D62E9"/>
    <w:rsid w:val="003D6F8C"/>
    <w:rsid w:val="003D7AFE"/>
    <w:rsid w:val="003D7BF0"/>
    <w:rsid w:val="003E02D2"/>
    <w:rsid w:val="003E15F2"/>
    <w:rsid w:val="003E16CE"/>
    <w:rsid w:val="003E1CD1"/>
    <w:rsid w:val="003E1D9A"/>
    <w:rsid w:val="003E201E"/>
    <w:rsid w:val="003E2063"/>
    <w:rsid w:val="003E22A3"/>
    <w:rsid w:val="003E2FFA"/>
    <w:rsid w:val="003E3001"/>
    <w:rsid w:val="003E30F6"/>
    <w:rsid w:val="003E3DEC"/>
    <w:rsid w:val="003E3F6C"/>
    <w:rsid w:val="003E4ADF"/>
    <w:rsid w:val="003E4E7F"/>
    <w:rsid w:val="003E4F6A"/>
    <w:rsid w:val="003E66A3"/>
    <w:rsid w:val="003E67B1"/>
    <w:rsid w:val="003E6990"/>
    <w:rsid w:val="003E6FA4"/>
    <w:rsid w:val="003E7703"/>
    <w:rsid w:val="003E790F"/>
    <w:rsid w:val="003E7DCB"/>
    <w:rsid w:val="003F04BB"/>
    <w:rsid w:val="003F093C"/>
    <w:rsid w:val="003F0CD2"/>
    <w:rsid w:val="003F1771"/>
    <w:rsid w:val="003F22FA"/>
    <w:rsid w:val="003F2767"/>
    <w:rsid w:val="003F2887"/>
    <w:rsid w:val="003F34A0"/>
    <w:rsid w:val="003F39D5"/>
    <w:rsid w:val="003F3FFF"/>
    <w:rsid w:val="003F40D2"/>
    <w:rsid w:val="003F4197"/>
    <w:rsid w:val="003F4420"/>
    <w:rsid w:val="003F49C8"/>
    <w:rsid w:val="003F4EC8"/>
    <w:rsid w:val="003F5772"/>
    <w:rsid w:val="003F57B0"/>
    <w:rsid w:val="003F58F2"/>
    <w:rsid w:val="003F6A6D"/>
    <w:rsid w:val="003F6AB3"/>
    <w:rsid w:val="003F776A"/>
    <w:rsid w:val="003F7954"/>
    <w:rsid w:val="003F7ACE"/>
    <w:rsid w:val="003F7AE9"/>
    <w:rsid w:val="003F7EBB"/>
    <w:rsid w:val="0040034F"/>
    <w:rsid w:val="004006D6"/>
    <w:rsid w:val="0040090A"/>
    <w:rsid w:val="00400C3D"/>
    <w:rsid w:val="00400FC3"/>
    <w:rsid w:val="004010B6"/>
    <w:rsid w:val="0040110F"/>
    <w:rsid w:val="0040111E"/>
    <w:rsid w:val="00401521"/>
    <w:rsid w:val="00402356"/>
    <w:rsid w:val="00402B02"/>
    <w:rsid w:val="0040346B"/>
    <w:rsid w:val="00403CDA"/>
    <w:rsid w:val="00403ED8"/>
    <w:rsid w:val="0040452A"/>
    <w:rsid w:val="00404780"/>
    <w:rsid w:val="00404B19"/>
    <w:rsid w:val="00404B3B"/>
    <w:rsid w:val="00404BA0"/>
    <w:rsid w:val="0040537F"/>
    <w:rsid w:val="004053D1"/>
    <w:rsid w:val="00405C40"/>
    <w:rsid w:val="00405E56"/>
    <w:rsid w:val="004062F6"/>
    <w:rsid w:val="00406818"/>
    <w:rsid w:val="004068DF"/>
    <w:rsid w:val="0040727C"/>
    <w:rsid w:val="004078E9"/>
    <w:rsid w:val="00407B1D"/>
    <w:rsid w:val="0041098C"/>
    <w:rsid w:val="00410AAB"/>
    <w:rsid w:val="00410AEB"/>
    <w:rsid w:val="00410FB1"/>
    <w:rsid w:val="0041171C"/>
    <w:rsid w:val="00412E96"/>
    <w:rsid w:val="0041302C"/>
    <w:rsid w:val="00413243"/>
    <w:rsid w:val="00413295"/>
    <w:rsid w:val="00413EE9"/>
    <w:rsid w:val="00413F37"/>
    <w:rsid w:val="004151C8"/>
    <w:rsid w:val="00415796"/>
    <w:rsid w:val="00415B21"/>
    <w:rsid w:val="0041634D"/>
    <w:rsid w:val="0041681C"/>
    <w:rsid w:val="00416E55"/>
    <w:rsid w:val="0041703E"/>
    <w:rsid w:val="00417258"/>
    <w:rsid w:val="0042035F"/>
    <w:rsid w:val="004203A1"/>
    <w:rsid w:val="0042073F"/>
    <w:rsid w:val="00420E9C"/>
    <w:rsid w:val="00421CA0"/>
    <w:rsid w:val="00422181"/>
    <w:rsid w:val="00422D62"/>
    <w:rsid w:val="00423395"/>
    <w:rsid w:val="00423BC0"/>
    <w:rsid w:val="00423CCD"/>
    <w:rsid w:val="00424439"/>
    <w:rsid w:val="004245A0"/>
    <w:rsid w:val="004247C1"/>
    <w:rsid w:val="00425B4A"/>
    <w:rsid w:val="00425FA1"/>
    <w:rsid w:val="004260F5"/>
    <w:rsid w:val="00426439"/>
    <w:rsid w:val="004264A5"/>
    <w:rsid w:val="00426F1F"/>
    <w:rsid w:val="00426F86"/>
    <w:rsid w:val="00426FC8"/>
    <w:rsid w:val="0043050B"/>
    <w:rsid w:val="00430EAA"/>
    <w:rsid w:val="00431516"/>
    <w:rsid w:val="00431696"/>
    <w:rsid w:val="00431908"/>
    <w:rsid w:val="00431B61"/>
    <w:rsid w:val="00431D8B"/>
    <w:rsid w:val="00434405"/>
    <w:rsid w:val="004349C7"/>
    <w:rsid w:val="00434A5B"/>
    <w:rsid w:val="004363EE"/>
    <w:rsid w:val="00436434"/>
    <w:rsid w:val="004372DC"/>
    <w:rsid w:val="0043752D"/>
    <w:rsid w:val="0043762C"/>
    <w:rsid w:val="00437D55"/>
    <w:rsid w:val="004411A5"/>
    <w:rsid w:val="004414BD"/>
    <w:rsid w:val="0044178C"/>
    <w:rsid w:val="00442119"/>
    <w:rsid w:val="00442AFD"/>
    <w:rsid w:val="00442F13"/>
    <w:rsid w:val="00443504"/>
    <w:rsid w:val="004438B9"/>
    <w:rsid w:val="004439A3"/>
    <w:rsid w:val="00443FA0"/>
    <w:rsid w:val="0044406E"/>
    <w:rsid w:val="0044476B"/>
    <w:rsid w:val="00444F3E"/>
    <w:rsid w:val="00445CDA"/>
    <w:rsid w:val="00446A4C"/>
    <w:rsid w:val="00446C93"/>
    <w:rsid w:val="00446F72"/>
    <w:rsid w:val="00447194"/>
    <w:rsid w:val="00447226"/>
    <w:rsid w:val="00447AD5"/>
    <w:rsid w:val="00447C10"/>
    <w:rsid w:val="00447CA9"/>
    <w:rsid w:val="00447D34"/>
    <w:rsid w:val="00447DC5"/>
    <w:rsid w:val="00447F6E"/>
    <w:rsid w:val="004501BF"/>
    <w:rsid w:val="00450B8B"/>
    <w:rsid w:val="0045102F"/>
    <w:rsid w:val="00451133"/>
    <w:rsid w:val="00451153"/>
    <w:rsid w:val="004519B0"/>
    <w:rsid w:val="00451B73"/>
    <w:rsid w:val="00452571"/>
    <w:rsid w:val="004527DF"/>
    <w:rsid w:val="004530E5"/>
    <w:rsid w:val="00453110"/>
    <w:rsid w:val="00454295"/>
    <w:rsid w:val="00454D40"/>
    <w:rsid w:val="004555C5"/>
    <w:rsid w:val="00455739"/>
    <w:rsid w:val="004559F8"/>
    <w:rsid w:val="00455ADA"/>
    <w:rsid w:val="00455D32"/>
    <w:rsid w:val="00455EF9"/>
    <w:rsid w:val="00456176"/>
    <w:rsid w:val="00456332"/>
    <w:rsid w:val="004571D0"/>
    <w:rsid w:val="00457AAD"/>
    <w:rsid w:val="00457CF0"/>
    <w:rsid w:val="00460055"/>
    <w:rsid w:val="00460591"/>
    <w:rsid w:val="00460FED"/>
    <w:rsid w:val="004614B8"/>
    <w:rsid w:val="00461D15"/>
    <w:rsid w:val="00461E5B"/>
    <w:rsid w:val="00462158"/>
    <w:rsid w:val="0046231A"/>
    <w:rsid w:val="004634DD"/>
    <w:rsid w:val="00463D31"/>
    <w:rsid w:val="004648A2"/>
    <w:rsid w:val="004648F7"/>
    <w:rsid w:val="00465737"/>
    <w:rsid w:val="00465812"/>
    <w:rsid w:val="00466231"/>
    <w:rsid w:val="00466325"/>
    <w:rsid w:val="004665E0"/>
    <w:rsid w:val="00466BA2"/>
    <w:rsid w:val="00466C9B"/>
    <w:rsid w:val="00466F9A"/>
    <w:rsid w:val="004673DD"/>
    <w:rsid w:val="00467A91"/>
    <w:rsid w:val="00467E17"/>
    <w:rsid w:val="00470650"/>
    <w:rsid w:val="004707D4"/>
    <w:rsid w:val="00470CC1"/>
    <w:rsid w:val="00471779"/>
    <w:rsid w:val="004722B8"/>
    <w:rsid w:val="00472401"/>
    <w:rsid w:val="00472539"/>
    <w:rsid w:val="00472D13"/>
    <w:rsid w:val="00472F2F"/>
    <w:rsid w:val="00472F49"/>
    <w:rsid w:val="00474865"/>
    <w:rsid w:val="004748E1"/>
    <w:rsid w:val="004748FA"/>
    <w:rsid w:val="00474C28"/>
    <w:rsid w:val="00474F6B"/>
    <w:rsid w:val="00475001"/>
    <w:rsid w:val="004750E0"/>
    <w:rsid w:val="00475161"/>
    <w:rsid w:val="00475946"/>
    <w:rsid w:val="00475E1C"/>
    <w:rsid w:val="00476021"/>
    <w:rsid w:val="004766F8"/>
    <w:rsid w:val="00476C6F"/>
    <w:rsid w:val="0047721F"/>
    <w:rsid w:val="004775BD"/>
    <w:rsid w:val="004775D0"/>
    <w:rsid w:val="00477C39"/>
    <w:rsid w:val="004803FB"/>
    <w:rsid w:val="00480A5C"/>
    <w:rsid w:val="00480D9C"/>
    <w:rsid w:val="00481374"/>
    <w:rsid w:val="004819C7"/>
    <w:rsid w:val="00481A6B"/>
    <w:rsid w:val="00481EF0"/>
    <w:rsid w:val="004825EC"/>
    <w:rsid w:val="004827E4"/>
    <w:rsid w:val="004829F4"/>
    <w:rsid w:val="004838B3"/>
    <w:rsid w:val="00483CF0"/>
    <w:rsid w:val="00483CF2"/>
    <w:rsid w:val="00483D4D"/>
    <w:rsid w:val="004841BA"/>
    <w:rsid w:val="0048438A"/>
    <w:rsid w:val="00484A77"/>
    <w:rsid w:val="004853F5"/>
    <w:rsid w:val="00485898"/>
    <w:rsid w:val="0048694F"/>
    <w:rsid w:val="00486FC4"/>
    <w:rsid w:val="00487837"/>
    <w:rsid w:val="004900F8"/>
    <w:rsid w:val="004905B6"/>
    <w:rsid w:val="00490779"/>
    <w:rsid w:val="00490E52"/>
    <w:rsid w:val="004911CF"/>
    <w:rsid w:val="00491FF4"/>
    <w:rsid w:val="00492B21"/>
    <w:rsid w:val="00492CDD"/>
    <w:rsid w:val="0049319B"/>
    <w:rsid w:val="004937AB"/>
    <w:rsid w:val="004950FC"/>
    <w:rsid w:val="004953A6"/>
    <w:rsid w:val="004955B2"/>
    <w:rsid w:val="00495A5B"/>
    <w:rsid w:val="00496AA0"/>
    <w:rsid w:val="00496C5C"/>
    <w:rsid w:val="00496E75"/>
    <w:rsid w:val="004975FF"/>
    <w:rsid w:val="00497C1B"/>
    <w:rsid w:val="004A02FE"/>
    <w:rsid w:val="004A045A"/>
    <w:rsid w:val="004A061B"/>
    <w:rsid w:val="004A097A"/>
    <w:rsid w:val="004A0C38"/>
    <w:rsid w:val="004A0E1B"/>
    <w:rsid w:val="004A0FA7"/>
    <w:rsid w:val="004A0FD6"/>
    <w:rsid w:val="004A125F"/>
    <w:rsid w:val="004A22E5"/>
    <w:rsid w:val="004A262B"/>
    <w:rsid w:val="004A2720"/>
    <w:rsid w:val="004A3149"/>
    <w:rsid w:val="004A3AFE"/>
    <w:rsid w:val="004A5DF1"/>
    <w:rsid w:val="004A6669"/>
    <w:rsid w:val="004A668F"/>
    <w:rsid w:val="004A7424"/>
    <w:rsid w:val="004A7542"/>
    <w:rsid w:val="004A767A"/>
    <w:rsid w:val="004A789B"/>
    <w:rsid w:val="004B022D"/>
    <w:rsid w:val="004B03C2"/>
    <w:rsid w:val="004B0577"/>
    <w:rsid w:val="004B0613"/>
    <w:rsid w:val="004B14CF"/>
    <w:rsid w:val="004B159F"/>
    <w:rsid w:val="004B1A90"/>
    <w:rsid w:val="004B3426"/>
    <w:rsid w:val="004B3566"/>
    <w:rsid w:val="004B3BC8"/>
    <w:rsid w:val="004B3C78"/>
    <w:rsid w:val="004B4607"/>
    <w:rsid w:val="004B4C87"/>
    <w:rsid w:val="004B4E27"/>
    <w:rsid w:val="004B4EFD"/>
    <w:rsid w:val="004B55C4"/>
    <w:rsid w:val="004B57FE"/>
    <w:rsid w:val="004B58D9"/>
    <w:rsid w:val="004B5DDD"/>
    <w:rsid w:val="004B61DF"/>
    <w:rsid w:val="004B629B"/>
    <w:rsid w:val="004B69F6"/>
    <w:rsid w:val="004B70B5"/>
    <w:rsid w:val="004B71E3"/>
    <w:rsid w:val="004B75F5"/>
    <w:rsid w:val="004B7F4F"/>
    <w:rsid w:val="004C0393"/>
    <w:rsid w:val="004C0F37"/>
    <w:rsid w:val="004C17C4"/>
    <w:rsid w:val="004C1A8D"/>
    <w:rsid w:val="004C1FC9"/>
    <w:rsid w:val="004C252E"/>
    <w:rsid w:val="004C256C"/>
    <w:rsid w:val="004C2720"/>
    <w:rsid w:val="004C2C59"/>
    <w:rsid w:val="004C2F3B"/>
    <w:rsid w:val="004C42BE"/>
    <w:rsid w:val="004C455A"/>
    <w:rsid w:val="004C5382"/>
    <w:rsid w:val="004C56FE"/>
    <w:rsid w:val="004C57CE"/>
    <w:rsid w:val="004C660A"/>
    <w:rsid w:val="004C675B"/>
    <w:rsid w:val="004C6A8C"/>
    <w:rsid w:val="004C6BAD"/>
    <w:rsid w:val="004C7124"/>
    <w:rsid w:val="004C798F"/>
    <w:rsid w:val="004C7DA5"/>
    <w:rsid w:val="004C7F0F"/>
    <w:rsid w:val="004D0ED4"/>
    <w:rsid w:val="004D17A8"/>
    <w:rsid w:val="004D1A04"/>
    <w:rsid w:val="004D32B7"/>
    <w:rsid w:val="004D42C4"/>
    <w:rsid w:val="004D51B7"/>
    <w:rsid w:val="004D5EFF"/>
    <w:rsid w:val="004D6B69"/>
    <w:rsid w:val="004D6F3E"/>
    <w:rsid w:val="004D7AC1"/>
    <w:rsid w:val="004E1118"/>
    <w:rsid w:val="004E123D"/>
    <w:rsid w:val="004E12F4"/>
    <w:rsid w:val="004E158B"/>
    <w:rsid w:val="004E1FB5"/>
    <w:rsid w:val="004E2A99"/>
    <w:rsid w:val="004E3355"/>
    <w:rsid w:val="004E3A58"/>
    <w:rsid w:val="004E463D"/>
    <w:rsid w:val="004E4650"/>
    <w:rsid w:val="004E4882"/>
    <w:rsid w:val="004E4FF2"/>
    <w:rsid w:val="004E5025"/>
    <w:rsid w:val="004E5A63"/>
    <w:rsid w:val="004E5E79"/>
    <w:rsid w:val="004E634F"/>
    <w:rsid w:val="004E644A"/>
    <w:rsid w:val="004E6596"/>
    <w:rsid w:val="004E7246"/>
    <w:rsid w:val="004E79A1"/>
    <w:rsid w:val="004E79EF"/>
    <w:rsid w:val="004E7AFC"/>
    <w:rsid w:val="004F09E3"/>
    <w:rsid w:val="004F1123"/>
    <w:rsid w:val="004F1457"/>
    <w:rsid w:val="004F17B1"/>
    <w:rsid w:val="004F3219"/>
    <w:rsid w:val="004F3CC3"/>
    <w:rsid w:val="004F41B8"/>
    <w:rsid w:val="004F42FE"/>
    <w:rsid w:val="004F464A"/>
    <w:rsid w:val="004F4C15"/>
    <w:rsid w:val="004F531C"/>
    <w:rsid w:val="004F534F"/>
    <w:rsid w:val="004F54F9"/>
    <w:rsid w:val="004F6182"/>
    <w:rsid w:val="004F6921"/>
    <w:rsid w:val="004F76C1"/>
    <w:rsid w:val="004F7A3A"/>
    <w:rsid w:val="00500607"/>
    <w:rsid w:val="005014C3"/>
    <w:rsid w:val="0050169C"/>
    <w:rsid w:val="005017A5"/>
    <w:rsid w:val="00501A30"/>
    <w:rsid w:val="00501E03"/>
    <w:rsid w:val="00501F13"/>
    <w:rsid w:val="00502DD7"/>
    <w:rsid w:val="005034EB"/>
    <w:rsid w:val="005035F6"/>
    <w:rsid w:val="00503A47"/>
    <w:rsid w:val="005046BE"/>
    <w:rsid w:val="005064E2"/>
    <w:rsid w:val="00506589"/>
    <w:rsid w:val="005068D7"/>
    <w:rsid w:val="00506B56"/>
    <w:rsid w:val="00506CB3"/>
    <w:rsid w:val="005075C5"/>
    <w:rsid w:val="0050774C"/>
    <w:rsid w:val="00507CC9"/>
    <w:rsid w:val="00507E3F"/>
    <w:rsid w:val="00510FB1"/>
    <w:rsid w:val="005116D0"/>
    <w:rsid w:val="00511835"/>
    <w:rsid w:val="0051197A"/>
    <w:rsid w:val="00511C05"/>
    <w:rsid w:val="00511CAC"/>
    <w:rsid w:val="00511E71"/>
    <w:rsid w:val="005120F9"/>
    <w:rsid w:val="0051216C"/>
    <w:rsid w:val="00512685"/>
    <w:rsid w:val="00512A81"/>
    <w:rsid w:val="00512C4E"/>
    <w:rsid w:val="00513AE8"/>
    <w:rsid w:val="00513C49"/>
    <w:rsid w:val="00513C8E"/>
    <w:rsid w:val="00513DD0"/>
    <w:rsid w:val="00513E32"/>
    <w:rsid w:val="00514615"/>
    <w:rsid w:val="00514742"/>
    <w:rsid w:val="00514D01"/>
    <w:rsid w:val="00514E21"/>
    <w:rsid w:val="00514EBA"/>
    <w:rsid w:val="00514F8A"/>
    <w:rsid w:val="00515810"/>
    <w:rsid w:val="0051616D"/>
    <w:rsid w:val="0051625B"/>
    <w:rsid w:val="005162D7"/>
    <w:rsid w:val="00516A4C"/>
    <w:rsid w:val="00516EA1"/>
    <w:rsid w:val="00517310"/>
    <w:rsid w:val="00517553"/>
    <w:rsid w:val="0051755F"/>
    <w:rsid w:val="00517ECA"/>
    <w:rsid w:val="00520AC5"/>
    <w:rsid w:val="005214D4"/>
    <w:rsid w:val="00521537"/>
    <w:rsid w:val="00525261"/>
    <w:rsid w:val="00525DA5"/>
    <w:rsid w:val="00526105"/>
    <w:rsid w:val="00527159"/>
    <w:rsid w:val="00527437"/>
    <w:rsid w:val="005277F2"/>
    <w:rsid w:val="00527C7D"/>
    <w:rsid w:val="00530537"/>
    <w:rsid w:val="00531665"/>
    <w:rsid w:val="0053345F"/>
    <w:rsid w:val="005336E2"/>
    <w:rsid w:val="00533BCC"/>
    <w:rsid w:val="00534050"/>
    <w:rsid w:val="005341CB"/>
    <w:rsid w:val="00534A8D"/>
    <w:rsid w:val="00534FCA"/>
    <w:rsid w:val="00535790"/>
    <w:rsid w:val="005360BF"/>
    <w:rsid w:val="00536263"/>
    <w:rsid w:val="00536358"/>
    <w:rsid w:val="005368A9"/>
    <w:rsid w:val="0053763E"/>
    <w:rsid w:val="00537BB2"/>
    <w:rsid w:val="005403E6"/>
    <w:rsid w:val="00540B71"/>
    <w:rsid w:val="00540FE4"/>
    <w:rsid w:val="0054170E"/>
    <w:rsid w:val="00541A91"/>
    <w:rsid w:val="005420CC"/>
    <w:rsid w:val="005428AA"/>
    <w:rsid w:val="00542E95"/>
    <w:rsid w:val="00543040"/>
    <w:rsid w:val="005436BD"/>
    <w:rsid w:val="00543741"/>
    <w:rsid w:val="005439BC"/>
    <w:rsid w:val="00543A6B"/>
    <w:rsid w:val="00544241"/>
    <w:rsid w:val="00544454"/>
    <w:rsid w:val="00544876"/>
    <w:rsid w:val="00544C98"/>
    <w:rsid w:val="00544EB0"/>
    <w:rsid w:val="005457F8"/>
    <w:rsid w:val="00546118"/>
    <w:rsid w:val="00546267"/>
    <w:rsid w:val="00546614"/>
    <w:rsid w:val="00546922"/>
    <w:rsid w:val="00546AC1"/>
    <w:rsid w:val="00546C11"/>
    <w:rsid w:val="0054774B"/>
    <w:rsid w:val="00547EEA"/>
    <w:rsid w:val="00547F95"/>
    <w:rsid w:val="00550517"/>
    <w:rsid w:val="005508C7"/>
    <w:rsid w:val="005513DD"/>
    <w:rsid w:val="00551E39"/>
    <w:rsid w:val="00551EE1"/>
    <w:rsid w:val="005527A6"/>
    <w:rsid w:val="0055283A"/>
    <w:rsid w:val="005534EA"/>
    <w:rsid w:val="005535F7"/>
    <w:rsid w:val="0055403A"/>
    <w:rsid w:val="005543F7"/>
    <w:rsid w:val="00554AFF"/>
    <w:rsid w:val="00554E9A"/>
    <w:rsid w:val="0055505B"/>
    <w:rsid w:val="005555A6"/>
    <w:rsid w:val="005556C0"/>
    <w:rsid w:val="00555DF9"/>
    <w:rsid w:val="005566ED"/>
    <w:rsid w:val="005569BD"/>
    <w:rsid w:val="00557C78"/>
    <w:rsid w:val="00557D0B"/>
    <w:rsid w:val="005602B6"/>
    <w:rsid w:val="005607EA"/>
    <w:rsid w:val="00560C0F"/>
    <w:rsid w:val="00561545"/>
    <w:rsid w:val="00561742"/>
    <w:rsid w:val="00561A6E"/>
    <w:rsid w:val="00563319"/>
    <w:rsid w:val="0056349C"/>
    <w:rsid w:val="00563704"/>
    <w:rsid w:val="00563BAC"/>
    <w:rsid w:val="00563F01"/>
    <w:rsid w:val="0056464E"/>
    <w:rsid w:val="00564B8C"/>
    <w:rsid w:val="00564C49"/>
    <w:rsid w:val="00564E87"/>
    <w:rsid w:val="00564F53"/>
    <w:rsid w:val="005650C3"/>
    <w:rsid w:val="0056561A"/>
    <w:rsid w:val="005658BF"/>
    <w:rsid w:val="00565A08"/>
    <w:rsid w:val="00565A0C"/>
    <w:rsid w:val="005660D5"/>
    <w:rsid w:val="005662FA"/>
    <w:rsid w:val="005672BF"/>
    <w:rsid w:val="00567450"/>
    <w:rsid w:val="0056763D"/>
    <w:rsid w:val="00567A4A"/>
    <w:rsid w:val="00567F1C"/>
    <w:rsid w:val="00567FAC"/>
    <w:rsid w:val="00570ECA"/>
    <w:rsid w:val="0057121B"/>
    <w:rsid w:val="00571265"/>
    <w:rsid w:val="00571988"/>
    <w:rsid w:val="0057200B"/>
    <w:rsid w:val="0057200F"/>
    <w:rsid w:val="005720DC"/>
    <w:rsid w:val="0057288A"/>
    <w:rsid w:val="00572A5A"/>
    <w:rsid w:val="00573038"/>
    <w:rsid w:val="005738E4"/>
    <w:rsid w:val="0057441A"/>
    <w:rsid w:val="00574A04"/>
    <w:rsid w:val="00574C07"/>
    <w:rsid w:val="00575D8F"/>
    <w:rsid w:val="005773BA"/>
    <w:rsid w:val="005775FF"/>
    <w:rsid w:val="00577759"/>
    <w:rsid w:val="0058085C"/>
    <w:rsid w:val="00580BAF"/>
    <w:rsid w:val="00580CD5"/>
    <w:rsid w:val="005816EB"/>
    <w:rsid w:val="0058184D"/>
    <w:rsid w:val="00581D15"/>
    <w:rsid w:val="00581FA0"/>
    <w:rsid w:val="0058318C"/>
    <w:rsid w:val="005833EB"/>
    <w:rsid w:val="00583653"/>
    <w:rsid w:val="005837A1"/>
    <w:rsid w:val="00583AA1"/>
    <w:rsid w:val="00583AD5"/>
    <w:rsid w:val="00583F26"/>
    <w:rsid w:val="0058475F"/>
    <w:rsid w:val="00584EBD"/>
    <w:rsid w:val="00585094"/>
    <w:rsid w:val="0058552F"/>
    <w:rsid w:val="00586931"/>
    <w:rsid w:val="005869C3"/>
    <w:rsid w:val="00586AFF"/>
    <w:rsid w:val="00587195"/>
    <w:rsid w:val="0058773A"/>
    <w:rsid w:val="00587C1C"/>
    <w:rsid w:val="00587F39"/>
    <w:rsid w:val="0059004F"/>
    <w:rsid w:val="00590127"/>
    <w:rsid w:val="00590362"/>
    <w:rsid w:val="0059042E"/>
    <w:rsid w:val="00591575"/>
    <w:rsid w:val="00592566"/>
    <w:rsid w:val="00592A73"/>
    <w:rsid w:val="00592B4C"/>
    <w:rsid w:val="00593096"/>
    <w:rsid w:val="0059381A"/>
    <w:rsid w:val="00594253"/>
    <w:rsid w:val="005966A9"/>
    <w:rsid w:val="00596915"/>
    <w:rsid w:val="00596ABE"/>
    <w:rsid w:val="00596C6B"/>
    <w:rsid w:val="00596E71"/>
    <w:rsid w:val="00597A35"/>
    <w:rsid w:val="005A0285"/>
    <w:rsid w:val="005A127B"/>
    <w:rsid w:val="005A1579"/>
    <w:rsid w:val="005A1880"/>
    <w:rsid w:val="005A25CB"/>
    <w:rsid w:val="005A26B5"/>
    <w:rsid w:val="005A2A71"/>
    <w:rsid w:val="005A3057"/>
    <w:rsid w:val="005A3B07"/>
    <w:rsid w:val="005A3C39"/>
    <w:rsid w:val="005A40F0"/>
    <w:rsid w:val="005A41F9"/>
    <w:rsid w:val="005A4644"/>
    <w:rsid w:val="005A4CFF"/>
    <w:rsid w:val="005A4E9B"/>
    <w:rsid w:val="005A5178"/>
    <w:rsid w:val="005A6563"/>
    <w:rsid w:val="005A7600"/>
    <w:rsid w:val="005A7A0B"/>
    <w:rsid w:val="005A7AE8"/>
    <w:rsid w:val="005A7AFD"/>
    <w:rsid w:val="005B0F0A"/>
    <w:rsid w:val="005B1455"/>
    <w:rsid w:val="005B1555"/>
    <w:rsid w:val="005B1630"/>
    <w:rsid w:val="005B1B71"/>
    <w:rsid w:val="005B23C5"/>
    <w:rsid w:val="005B27C7"/>
    <w:rsid w:val="005B2959"/>
    <w:rsid w:val="005B315D"/>
    <w:rsid w:val="005B3E28"/>
    <w:rsid w:val="005B45F4"/>
    <w:rsid w:val="005B6891"/>
    <w:rsid w:val="005B69B8"/>
    <w:rsid w:val="005B7055"/>
    <w:rsid w:val="005B743F"/>
    <w:rsid w:val="005C012B"/>
    <w:rsid w:val="005C0612"/>
    <w:rsid w:val="005C09F1"/>
    <w:rsid w:val="005C0A2F"/>
    <w:rsid w:val="005C0D04"/>
    <w:rsid w:val="005C1034"/>
    <w:rsid w:val="005C1164"/>
    <w:rsid w:val="005C1200"/>
    <w:rsid w:val="005C1C87"/>
    <w:rsid w:val="005C1D4C"/>
    <w:rsid w:val="005C238D"/>
    <w:rsid w:val="005C2456"/>
    <w:rsid w:val="005C25C7"/>
    <w:rsid w:val="005C3570"/>
    <w:rsid w:val="005C3AD7"/>
    <w:rsid w:val="005C3B99"/>
    <w:rsid w:val="005C3D1A"/>
    <w:rsid w:val="005C3F9E"/>
    <w:rsid w:val="005C4958"/>
    <w:rsid w:val="005C4B5D"/>
    <w:rsid w:val="005C4DC3"/>
    <w:rsid w:val="005C542A"/>
    <w:rsid w:val="005C555D"/>
    <w:rsid w:val="005C5CD1"/>
    <w:rsid w:val="005C6065"/>
    <w:rsid w:val="005C683F"/>
    <w:rsid w:val="005C7053"/>
    <w:rsid w:val="005C716D"/>
    <w:rsid w:val="005C781D"/>
    <w:rsid w:val="005D05B4"/>
    <w:rsid w:val="005D0B95"/>
    <w:rsid w:val="005D0C81"/>
    <w:rsid w:val="005D1055"/>
    <w:rsid w:val="005D1428"/>
    <w:rsid w:val="005D1F11"/>
    <w:rsid w:val="005D229A"/>
    <w:rsid w:val="005D2B1B"/>
    <w:rsid w:val="005D2CAB"/>
    <w:rsid w:val="005D306F"/>
    <w:rsid w:val="005D36CF"/>
    <w:rsid w:val="005D395A"/>
    <w:rsid w:val="005D3D41"/>
    <w:rsid w:val="005D436D"/>
    <w:rsid w:val="005D43C0"/>
    <w:rsid w:val="005D4469"/>
    <w:rsid w:val="005D4E3A"/>
    <w:rsid w:val="005D6549"/>
    <w:rsid w:val="005D66B2"/>
    <w:rsid w:val="005D7002"/>
    <w:rsid w:val="005D782D"/>
    <w:rsid w:val="005D7869"/>
    <w:rsid w:val="005D7CBA"/>
    <w:rsid w:val="005D7FCB"/>
    <w:rsid w:val="005E10DD"/>
    <w:rsid w:val="005E14D3"/>
    <w:rsid w:val="005E1557"/>
    <w:rsid w:val="005E1734"/>
    <w:rsid w:val="005E2083"/>
    <w:rsid w:val="005E221D"/>
    <w:rsid w:val="005E22B1"/>
    <w:rsid w:val="005E22F5"/>
    <w:rsid w:val="005E310C"/>
    <w:rsid w:val="005E369B"/>
    <w:rsid w:val="005E39DD"/>
    <w:rsid w:val="005E41B6"/>
    <w:rsid w:val="005E422C"/>
    <w:rsid w:val="005E48D5"/>
    <w:rsid w:val="005E5AC5"/>
    <w:rsid w:val="005E6014"/>
    <w:rsid w:val="005E6065"/>
    <w:rsid w:val="005E618F"/>
    <w:rsid w:val="005E644C"/>
    <w:rsid w:val="005E698E"/>
    <w:rsid w:val="005E6993"/>
    <w:rsid w:val="005E6A61"/>
    <w:rsid w:val="005E6A84"/>
    <w:rsid w:val="005E6EF2"/>
    <w:rsid w:val="005E714B"/>
    <w:rsid w:val="005E73D2"/>
    <w:rsid w:val="005E7430"/>
    <w:rsid w:val="005F0006"/>
    <w:rsid w:val="005F0A24"/>
    <w:rsid w:val="005F1021"/>
    <w:rsid w:val="005F1165"/>
    <w:rsid w:val="005F17C9"/>
    <w:rsid w:val="005F1A44"/>
    <w:rsid w:val="005F1A71"/>
    <w:rsid w:val="005F268B"/>
    <w:rsid w:val="005F2A52"/>
    <w:rsid w:val="005F2B98"/>
    <w:rsid w:val="005F2D93"/>
    <w:rsid w:val="005F30BB"/>
    <w:rsid w:val="005F351B"/>
    <w:rsid w:val="005F4315"/>
    <w:rsid w:val="005F4612"/>
    <w:rsid w:val="005F480A"/>
    <w:rsid w:val="005F4AF3"/>
    <w:rsid w:val="005F4B16"/>
    <w:rsid w:val="005F4F3C"/>
    <w:rsid w:val="005F512D"/>
    <w:rsid w:val="005F54E3"/>
    <w:rsid w:val="005F57A6"/>
    <w:rsid w:val="005F5A5E"/>
    <w:rsid w:val="005F649E"/>
    <w:rsid w:val="005F655D"/>
    <w:rsid w:val="005F6C92"/>
    <w:rsid w:val="005F73EE"/>
    <w:rsid w:val="005F7B1B"/>
    <w:rsid w:val="005F7C62"/>
    <w:rsid w:val="00600DFD"/>
    <w:rsid w:val="00600EA3"/>
    <w:rsid w:val="00600F2A"/>
    <w:rsid w:val="00600F58"/>
    <w:rsid w:val="0060230E"/>
    <w:rsid w:val="00603099"/>
    <w:rsid w:val="00603481"/>
    <w:rsid w:val="006034DB"/>
    <w:rsid w:val="00603F13"/>
    <w:rsid w:val="006041DD"/>
    <w:rsid w:val="00605312"/>
    <w:rsid w:val="00605A9B"/>
    <w:rsid w:val="00605E59"/>
    <w:rsid w:val="006063AA"/>
    <w:rsid w:val="006071D4"/>
    <w:rsid w:val="0060730A"/>
    <w:rsid w:val="00607A57"/>
    <w:rsid w:val="00607EEA"/>
    <w:rsid w:val="006113BB"/>
    <w:rsid w:val="0061140E"/>
    <w:rsid w:val="006115F7"/>
    <w:rsid w:val="0061175B"/>
    <w:rsid w:val="006118FA"/>
    <w:rsid w:val="00611AC4"/>
    <w:rsid w:val="00611B79"/>
    <w:rsid w:val="00612800"/>
    <w:rsid w:val="006128A2"/>
    <w:rsid w:val="00612A57"/>
    <w:rsid w:val="00612D11"/>
    <w:rsid w:val="00612E37"/>
    <w:rsid w:val="00612F45"/>
    <w:rsid w:val="006134E9"/>
    <w:rsid w:val="0061395C"/>
    <w:rsid w:val="00613BB3"/>
    <w:rsid w:val="00613C55"/>
    <w:rsid w:val="00614193"/>
    <w:rsid w:val="0061591F"/>
    <w:rsid w:val="00615A09"/>
    <w:rsid w:val="0061657D"/>
    <w:rsid w:val="006169DF"/>
    <w:rsid w:val="00616B9A"/>
    <w:rsid w:val="00616D89"/>
    <w:rsid w:val="00616DC7"/>
    <w:rsid w:val="00616DE0"/>
    <w:rsid w:val="006172C4"/>
    <w:rsid w:val="00617667"/>
    <w:rsid w:val="0062004C"/>
    <w:rsid w:val="006203CE"/>
    <w:rsid w:val="006207F2"/>
    <w:rsid w:val="00620D52"/>
    <w:rsid w:val="00620E42"/>
    <w:rsid w:val="00620F9E"/>
    <w:rsid w:val="00620FAC"/>
    <w:rsid w:val="00621C3D"/>
    <w:rsid w:val="00621F50"/>
    <w:rsid w:val="00622641"/>
    <w:rsid w:val="00622793"/>
    <w:rsid w:val="00622892"/>
    <w:rsid w:val="00622EAD"/>
    <w:rsid w:val="006235AC"/>
    <w:rsid w:val="006236BC"/>
    <w:rsid w:val="00623D14"/>
    <w:rsid w:val="0062429B"/>
    <w:rsid w:val="0062444A"/>
    <w:rsid w:val="00624EC3"/>
    <w:rsid w:val="0062551A"/>
    <w:rsid w:val="00625FF8"/>
    <w:rsid w:val="0062600B"/>
    <w:rsid w:val="006267C4"/>
    <w:rsid w:val="00626B63"/>
    <w:rsid w:val="006271CD"/>
    <w:rsid w:val="00627A46"/>
    <w:rsid w:val="00627DC8"/>
    <w:rsid w:val="00627EA7"/>
    <w:rsid w:val="006304C1"/>
    <w:rsid w:val="00630572"/>
    <w:rsid w:val="006309D0"/>
    <w:rsid w:val="00630F67"/>
    <w:rsid w:val="00630FFB"/>
    <w:rsid w:val="00631145"/>
    <w:rsid w:val="0063117B"/>
    <w:rsid w:val="00631442"/>
    <w:rsid w:val="00631A09"/>
    <w:rsid w:val="0063252F"/>
    <w:rsid w:val="00632992"/>
    <w:rsid w:val="006329AA"/>
    <w:rsid w:val="00633BE2"/>
    <w:rsid w:val="00633E8F"/>
    <w:rsid w:val="00634126"/>
    <w:rsid w:val="006343EA"/>
    <w:rsid w:val="006347B3"/>
    <w:rsid w:val="00634AF5"/>
    <w:rsid w:val="00634CE2"/>
    <w:rsid w:val="00635881"/>
    <w:rsid w:val="006358CC"/>
    <w:rsid w:val="0063594E"/>
    <w:rsid w:val="006359C6"/>
    <w:rsid w:val="006361CE"/>
    <w:rsid w:val="00636377"/>
    <w:rsid w:val="00636569"/>
    <w:rsid w:val="00636841"/>
    <w:rsid w:val="0063716A"/>
    <w:rsid w:val="006376DE"/>
    <w:rsid w:val="0063780C"/>
    <w:rsid w:val="00637EC2"/>
    <w:rsid w:val="00637EE2"/>
    <w:rsid w:val="00640AFC"/>
    <w:rsid w:val="00640F6E"/>
    <w:rsid w:val="006413C1"/>
    <w:rsid w:val="00641900"/>
    <w:rsid w:val="00641BAA"/>
    <w:rsid w:val="00641E72"/>
    <w:rsid w:val="00642733"/>
    <w:rsid w:val="00642FCE"/>
    <w:rsid w:val="006434DE"/>
    <w:rsid w:val="00643C83"/>
    <w:rsid w:val="0064411C"/>
    <w:rsid w:val="00644A3D"/>
    <w:rsid w:val="00645594"/>
    <w:rsid w:val="006472C2"/>
    <w:rsid w:val="006475C5"/>
    <w:rsid w:val="00650594"/>
    <w:rsid w:val="0065088A"/>
    <w:rsid w:val="00650953"/>
    <w:rsid w:val="00650DA4"/>
    <w:rsid w:val="006510A4"/>
    <w:rsid w:val="00651ED5"/>
    <w:rsid w:val="006520FD"/>
    <w:rsid w:val="006523BB"/>
    <w:rsid w:val="00652B5F"/>
    <w:rsid w:val="00653348"/>
    <w:rsid w:val="00653686"/>
    <w:rsid w:val="00655B4B"/>
    <w:rsid w:val="00656232"/>
    <w:rsid w:val="00656CF3"/>
    <w:rsid w:val="00656E83"/>
    <w:rsid w:val="0065708B"/>
    <w:rsid w:val="00657674"/>
    <w:rsid w:val="00657961"/>
    <w:rsid w:val="00657ABF"/>
    <w:rsid w:val="006600A8"/>
    <w:rsid w:val="006601E1"/>
    <w:rsid w:val="00660D9D"/>
    <w:rsid w:val="00661302"/>
    <w:rsid w:val="00661994"/>
    <w:rsid w:val="00661A0E"/>
    <w:rsid w:val="00662037"/>
    <w:rsid w:val="006620EF"/>
    <w:rsid w:val="00662A6D"/>
    <w:rsid w:val="00663009"/>
    <w:rsid w:val="00663B32"/>
    <w:rsid w:val="006648A2"/>
    <w:rsid w:val="00664A4D"/>
    <w:rsid w:val="00664FF2"/>
    <w:rsid w:val="006652A1"/>
    <w:rsid w:val="006655DE"/>
    <w:rsid w:val="00666281"/>
    <w:rsid w:val="00666582"/>
    <w:rsid w:val="00666CD8"/>
    <w:rsid w:val="006671B7"/>
    <w:rsid w:val="00667382"/>
    <w:rsid w:val="00667A59"/>
    <w:rsid w:val="00667AC8"/>
    <w:rsid w:val="00670064"/>
    <w:rsid w:val="00670089"/>
    <w:rsid w:val="00670998"/>
    <w:rsid w:val="00670E25"/>
    <w:rsid w:val="0067158A"/>
    <w:rsid w:val="00671A2F"/>
    <w:rsid w:val="00671A6F"/>
    <w:rsid w:val="00671C73"/>
    <w:rsid w:val="00671CAE"/>
    <w:rsid w:val="006721BB"/>
    <w:rsid w:val="006723E1"/>
    <w:rsid w:val="006728D9"/>
    <w:rsid w:val="00672B9B"/>
    <w:rsid w:val="00672EBD"/>
    <w:rsid w:val="00672FC7"/>
    <w:rsid w:val="006731FA"/>
    <w:rsid w:val="00673AD7"/>
    <w:rsid w:val="00673F52"/>
    <w:rsid w:val="00673F8C"/>
    <w:rsid w:val="0067401B"/>
    <w:rsid w:val="00675603"/>
    <w:rsid w:val="00675F12"/>
    <w:rsid w:val="00676150"/>
    <w:rsid w:val="00676177"/>
    <w:rsid w:val="006761B4"/>
    <w:rsid w:val="00676589"/>
    <w:rsid w:val="00676725"/>
    <w:rsid w:val="006770EF"/>
    <w:rsid w:val="0067774C"/>
    <w:rsid w:val="006809FC"/>
    <w:rsid w:val="0068134E"/>
    <w:rsid w:val="0068165B"/>
    <w:rsid w:val="00681796"/>
    <w:rsid w:val="00681A2C"/>
    <w:rsid w:val="00681BFB"/>
    <w:rsid w:val="00681C8B"/>
    <w:rsid w:val="006820B3"/>
    <w:rsid w:val="0068262A"/>
    <w:rsid w:val="00682A22"/>
    <w:rsid w:val="00682F66"/>
    <w:rsid w:val="00683007"/>
    <w:rsid w:val="00683CC8"/>
    <w:rsid w:val="0068490D"/>
    <w:rsid w:val="00684A56"/>
    <w:rsid w:val="00685026"/>
    <w:rsid w:val="006850B9"/>
    <w:rsid w:val="006856C7"/>
    <w:rsid w:val="00685730"/>
    <w:rsid w:val="006860EB"/>
    <w:rsid w:val="006864E3"/>
    <w:rsid w:val="0068756D"/>
    <w:rsid w:val="0068773F"/>
    <w:rsid w:val="00687AFB"/>
    <w:rsid w:val="0069031C"/>
    <w:rsid w:val="00690639"/>
    <w:rsid w:val="00690B98"/>
    <w:rsid w:val="00690CB8"/>
    <w:rsid w:val="00691C68"/>
    <w:rsid w:val="006925DF"/>
    <w:rsid w:val="006925F4"/>
    <w:rsid w:val="00692713"/>
    <w:rsid w:val="00692962"/>
    <w:rsid w:val="006937B5"/>
    <w:rsid w:val="00693AB1"/>
    <w:rsid w:val="00693F30"/>
    <w:rsid w:val="006943F5"/>
    <w:rsid w:val="00694A8D"/>
    <w:rsid w:val="00694EBC"/>
    <w:rsid w:val="006951A1"/>
    <w:rsid w:val="00696F48"/>
    <w:rsid w:val="00697153"/>
    <w:rsid w:val="00697476"/>
    <w:rsid w:val="006975A9"/>
    <w:rsid w:val="00697B12"/>
    <w:rsid w:val="00697F44"/>
    <w:rsid w:val="00697FE7"/>
    <w:rsid w:val="006A03CE"/>
    <w:rsid w:val="006A0509"/>
    <w:rsid w:val="006A07A1"/>
    <w:rsid w:val="006A1ABD"/>
    <w:rsid w:val="006A1C09"/>
    <w:rsid w:val="006A298A"/>
    <w:rsid w:val="006A2DF3"/>
    <w:rsid w:val="006A3043"/>
    <w:rsid w:val="006A30D2"/>
    <w:rsid w:val="006A3198"/>
    <w:rsid w:val="006A31F7"/>
    <w:rsid w:val="006A3736"/>
    <w:rsid w:val="006A3C0C"/>
    <w:rsid w:val="006A4570"/>
    <w:rsid w:val="006A49B4"/>
    <w:rsid w:val="006A4EDB"/>
    <w:rsid w:val="006A512E"/>
    <w:rsid w:val="006A68F0"/>
    <w:rsid w:val="006A69DB"/>
    <w:rsid w:val="006A6A80"/>
    <w:rsid w:val="006A6C80"/>
    <w:rsid w:val="006A73D3"/>
    <w:rsid w:val="006A7557"/>
    <w:rsid w:val="006B066C"/>
    <w:rsid w:val="006B0717"/>
    <w:rsid w:val="006B0877"/>
    <w:rsid w:val="006B0F5D"/>
    <w:rsid w:val="006B0FFB"/>
    <w:rsid w:val="006B103B"/>
    <w:rsid w:val="006B1A43"/>
    <w:rsid w:val="006B2230"/>
    <w:rsid w:val="006B2D4C"/>
    <w:rsid w:val="006B2F67"/>
    <w:rsid w:val="006B34BE"/>
    <w:rsid w:val="006B4087"/>
    <w:rsid w:val="006B47A9"/>
    <w:rsid w:val="006B5311"/>
    <w:rsid w:val="006B554B"/>
    <w:rsid w:val="006B5DD7"/>
    <w:rsid w:val="006B6850"/>
    <w:rsid w:val="006B6A4B"/>
    <w:rsid w:val="006B6B88"/>
    <w:rsid w:val="006B6EEF"/>
    <w:rsid w:val="006B6F71"/>
    <w:rsid w:val="006B7178"/>
    <w:rsid w:val="006C0D09"/>
    <w:rsid w:val="006C15E4"/>
    <w:rsid w:val="006C1CEF"/>
    <w:rsid w:val="006C1DD6"/>
    <w:rsid w:val="006C2793"/>
    <w:rsid w:val="006C2AFC"/>
    <w:rsid w:val="006C2CB5"/>
    <w:rsid w:val="006C2E86"/>
    <w:rsid w:val="006C36DC"/>
    <w:rsid w:val="006C381F"/>
    <w:rsid w:val="006C3855"/>
    <w:rsid w:val="006C3B25"/>
    <w:rsid w:val="006C4531"/>
    <w:rsid w:val="006C4D39"/>
    <w:rsid w:val="006C4F0A"/>
    <w:rsid w:val="006C5373"/>
    <w:rsid w:val="006C5C1F"/>
    <w:rsid w:val="006C5F00"/>
    <w:rsid w:val="006C61E7"/>
    <w:rsid w:val="006C63C9"/>
    <w:rsid w:val="006C6D95"/>
    <w:rsid w:val="006C7EB2"/>
    <w:rsid w:val="006D0510"/>
    <w:rsid w:val="006D08C6"/>
    <w:rsid w:val="006D191F"/>
    <w:rsid w:val="006D195C"/>
    <w:rsid w:val="006D1A12"/>
    <w:rsid w:val="006D23D1"/>
    <w:rsid w:val="006D23F0"/>
    <w:rsid w:val="006D317C"/>
    <w:rsid w:val="006D3876"/>
    <w:rsid w:val="006D39F4"/>
    <w:rsid w:val="006D3B1B"/>
    <w:rsid w:val="006D401A"/>
    <w:rsid w:val="006D45FD"/>
    <w:rsid w:val="006D479E"/>
    <w:rsid w:val="006D4C40"/>
    <w:rsid w:val="006D5B2C"/>
    <w:rsid w:val="006D5D41"/>
    <w:rsid w:val="006D60F1"/>
    <w:rsid w:val="006D613E"/>
    <w:rsid w:val="006D6181"/>
    <w:rsid w:val="006D629A"/>
    <w:rsid w:val="006D6680"/>
    <w:rsid w:val="006D6AD0"/>
    <w:rsid w:val="006D769F"/>
    <w:rsid w:val="006D7D31"/>
    <w:rsid w:val="006E03E4"/>
    <w:rsid w:val="006E04F4"/>
    <w:rsid w:val="006E0C5D"/>
    <w:rsid w:val="006E0CD7"/>
    <w:rsid w:val="006E119B"/>
    <w:rsid w:val="006E1325"/>
    <w:rsid w:val="006E1C99"/>
    <w:rsid w:val="006E1D35"/>
    <w:rsid w:val="006E1EEC"/>
    <w:rsid w:val="006E1FD8"/>
    <w:rsid w:val="006E20F7"/>
    <w:rsid w:val="006E2FF2"/>
    <w:rsid w:val="006E30D8"/>
    <w:rsid w:val="006E31FD"/>
    <w:rsid w:val="006E3B0E"/>
    <w:rsid w:val="006E3CE4"/>
    <w:rsid w:val="006E50B5"/>
    <w:rsid w:val="006E56F8"/>
    <w:rsid w:val="006E5E3C"/>
    <w:rsid w:val="006E6598"/>
    <w:rsid w:val="006E65A6"/>
    <w:rsid w:val="006E6A11"/>
    <w:rsid w:val="006E6A79"/>
    <w:rsid w:val="006E6F59"/>
    <w:rsid w:val="006E711B"/>
    <w:rsid w:val="006E7597"/>
    <w:rsid w:val="006E76FC"/>
    <w:rsid w:val="006E789A"/>
    <w:rsid w:val="006E7947"/>
    <w:rsid w:val="006F0203"/>
    <w:rsid w:val="006F0B71"/>
    <w:rsid w:val="006F186D"/>
    <w:rsid w:val="006F1939"/>
    <w:rsid w:val="006F1A5D"/>
    <w:rsid w:val="006F1D01"/>
    <w:rsid w:val="006F1D79"/>
    <w:rsid w:val="006F2214"/>
    <w:rsid w:val="006F26EE"/>
    <w:rsid w:val="006F2BD0"/>
    <w:rsid w:val="006F3CC4"/>
    <w:rsid w:val="006F3F0C"/>
    <w:rsid w:val="006F445C"/>
    <w:rsid w:val="006F4AD7"/>
    <w:rsid w:val="006F4B50"/>
    <w:rsid w:val="006F4BE2"/>
    <w:rsid w:val="006F527F"/>
    <w:rsid w:val="006F52EC"/>
    <w:rsid w:val="006F52F6"/>
    <w:rsid w:val="006F68A8"/>
    <w:rsid w:val="006F6AFE"/>
    <w:rsid w:val="006F6E1E"/>
    <w:rsid w:val="00701668"/>
    <w:rsid w:val="0070261F"/>
    <w:rsid w:val="00703398"/>
    <w:rsid w:val="007036C8"/>
    <w:rsid w:val="0070373A"/>
    <w:rsid w:val="00703885"/>
    <w:rsid w:val="007039DB"/>
    <w:rsid w:val="00704028"/>
    <w:rsid w:val="0070438F"/>
    <w:rsid w:val="00704724"/>
    <w:rsid w:val="00704E54"/>
    <w:rsid w:val="007052FA"/>
    <w:rsid w:val="0070578E"/>
    <w:rsid w:val="00705FEC"/>
    <w:rsid w:val="00706478"/>
    <w:rsid w:val="0070691A"/>
    <w:rsid w:val="00706D19"/>
    <w:rsid w:val="0070720C"/>
    <w:rsid w:val="007073F6"/>
    <w:rsid w:val="007079E1"/>
    <w:rsid w:val="00710249"/>
    <w:rsid w:val="0071122E"/>
    <w:rsid w:val="00711712"/>
    <w:rsid w:val="0071248C"/>
    <w:rsid w:val="007126DD"/>
    <w:rsid w:val="00712CB4"/>
    <w:rsid w:val="007130E2"/>
    <w:rsid w:val="007135BF"/>
    <w:rsid w:val="00714417"/>
    <w:rsid w:val="00714F21"/>
    <w:rsid w:val="0071513D"/>
    <w:rsid w:val="00715C56"/>
    <w:rsid w:val="00715CB9"/>
    <w:rsid w:val="00715D45"/>
    <w:rsid w:val="00716B95"/>
    <w:rsid w:val="00716FB7"/>
    <w:rsid w:val="007171E2"/>
    <w:rsid w:val="00717880"/>
    <w:rsid w:val="00717D23"/>
    <w:rsid w:val="007200B7"/>
    <w:rsid w:val="0072046E"/>
    <w:rsid w:val="00720573"/>
    <w:rsid w:val="007206A2"/>
    <w:rsid w:val="007207AA"/>
    <w:rsid w:val="00720A51"/>
    <w:rsid w:val="007230D6"/>
    <w:rsid w:val="007235B9"/>
    <w:rsid w:val="00723A5B"/>
    <w:rsid w:val="00723DDA"/>
    <w:rsid w:val="0072478A"/>
    <w:rsid w:val="00724B1F"/>
    <w:rsid w:val="00724CB5"/>
    <w:rsid w:val="0072531F"/>
    <w:rsid w:val="00725815"/>
    <w:rsid w:val="00725C08"/>
    <w:rsid w:val="007260CA"/>
    <w:rsid w:val="007274FB"/>
    <w:rsid w:val="00727527"/>
    <w:rsid w:val="007276C8"/>
    <w:rsid w:val="00727D1C"/>
    <w:rsid w:val="00727D94"/>
    <w:rsid w:val="0073056D"/>
    <w:rsid w:val="0073151A"/>
    <w:rsid w:val="007319A9"/>
    <w:rsid w:val="00731ECC"/>
    <w:rsid w:val="00731FA7"/>
    <w:rsid w:val="00732520"/>
    <w:rsid w:val="0073256D"/>
    <w:rsid w:val="00732687"/>
    <w:rsid w:val="00732A43"/>
    <w:rsid w:val="00732AD7"/>
    <w:rsid w:val="00733A63"/>
    <w:rsid w:val="00733D1E"/>
    <w:rsid w:val="00733E2B"/>
    <w:rsid w:val="00733FD7"/>
    <w:rsid w:val="00734967"/>
    <w:rsid w:val="00735171"/>
    <w:rsid w:val="00735B60"/>
    <w:rsid w:val="00736552"/>
    <w:rsid w:val="00736862"/>
    <w:rsid w:val="007371B8"/>
    <w:rsid w:val="0073739E"/>
    <w:rsid w:val="007379C5"/>
    <w:rsid w:val="00740508"/>
    <w:rsid w:val="00740591"/>
    <w:rsid w:val="00741266"/>
    <w:rsid w:val="00741404"/>
    <w:rsid w:val="00741456"/>
    <w:rsid w:val="007415D4"/>
    <w:rsid w:val="0074168C"/>
    <w:rsid w:val="00741995"/>
    <w:rsid w:val="007419A4"/>
    <w:rsid w:val="00741BB7"/>
    <w:rsid w:val="0074243D"/>
    <w:rsid w:val="007429DF"/>
    <w:rsid w:val="00743C00"/>
    <w:rsid w:val="0074480E"/>
    <w:rsid w:val="00745781"/>
    <w:rsid w:val="00746000"/>
    <w:rsid w:val="00746575"/>
    <w:rsid w:val="00746A75"/>
    <w:rsid w:val="007470D6"/>
    <w:rsid w:val="0074717E"/>
    <w:rsid w:val="00750B00"/>
    <w:rsid w:val="007511E8"/>
    <w:rsid w:val="00752507"/>
    <w:rsid w:val="007525E4"/>
    <w:rsid w:val="007526EB"/>
    <w:rsid w:val="00752727"/>
    <w:rsid w:val="00752D88"/>
    <w:rsid w:val="007531AF"/>
    <w:rsid w:val="007534BE"/>
    <w:rsid w:val="007540B7"/>
    <w:rsid w:val="00754F48"/>
    <w:rsid w:val="0075506B"/>
    <w:rsid w:val="00755B97"/>
    <w:rsid w:val="00755C94"/>
    <w:rsid w:val="00755D1A"/>
    <w:rsid w:val="00755FDA"/>
    <w:rsid w:val="007564AA"/>
    <w:rsid w:val="0075699C"/>
    <w:rsid w:val="00756FD3"/>
    <w:rsid w:val="007573EF"/>
    <w:rsid w:val="00757434"/>
    <w:rsid w:val="00757A80"/>
    <w:rsid w:val="00757FF1"/>
    <w:rsid w:val="0076017E"/>
    <w:rsid w:val="00760485"/>
    <w:rsid w:val="007606CD"/>
    <w:rsid w:val="00760888"/>
    <w:rsid w:val="00760BFD"/>
    <w:rsid w:val="00760E37"/>
    <w:rsid w:val="00761030"/>
    <w:rsid w:val="00761138"/>
    <w:rsid w:val="007618B7"/>
    <w:rsid w:val="00761E1F"/>
    <w:rsid w:val="0076279F"/>
    <w:rsid w:val="00762BA7"/>
    <w:rsid w:val="00762D7F"/>
    <w:rsid w:val="00762F9D"/>
    <w:rsid w:val="007633CD"/>
    <w:rsid w:val="0076511E"/>
    <w:rsid w:val="00765698"/>
    <w:rsid w:val="00765A77"/>
    <w:rsid w:val="00766909"/>
    <w:rsid w:val="0076697F"/>
    <w:rsid w:val="00767485"/>
    <w:rsid w:val="00767604"/>
    <w:rsid w:val="00767716"/>
    <w:rsid w:val="007677A3"/>
    <w:rsid w:val="007704CC"/>
    <w:rsid w:val="00770A4C"/>
    <w:rsid w:val="00770C7A"/>
    <w:rsid w:val="00771032"/>
    <w:rsid w:val="007711A4"/>
    <w:rsid w:val="007711B6"/>
    <w:rsid w:val="007712C2"/>
    <w:rsid w:val="007714B9"/>
    <w:rsid w:val="00771D3E"/>
    <w:rsid w:val="007724A7"/>
    <w:rsid w:val="00772A27"/>
    <w:rsid w:val="00772AA8"/>
    <w:rsid w:val="0077365A"/>
    <w:rsid w:val="00773787"/>
    <w:rsid w:val="0077442A"/>
    <w:rsid w:val="00774456"/>
    <w:rsid w:val="007749A0"/>
    <w:rsid w:val="0077535C"/>
    <w:rsid w:val="00775437"/>
    <w:rsid w:val="00775695"/>
    <w:rsid w:val="007758AE"/>
    <w:rsid w:val="00775B9E"/>
    <w:rsid w:val="007760DA"/>
    <w:rsid w:val="00776148"/>
    <w:rsid w:val="00776301"/>
    <w:rsid w:val="00776A2D"/>
    <w:rsid w:val="00776A86"/>
    <w:rsid w:val="00776D0E"/>
    <w:rsid w:val="007770F9"/>
    <w:rsid w:val="0077792D"/>
    <w:rsid w:val="00780618"/>
    <w:rsid w:val="00781769"/>
    <w:rsid w:val="007821A5"/>
    <w:rsid w:val="007821EA"/>
    <w:rsid w:val="007829FD"/>
    <w:rsid w:val="00783116"/>
    <w:rsid w:val="00783717"/>
    <w:rsid w:val="007838B7"/>
    <w:rsid w:val="0078453B"/>
    <w:rsid w:val="007849EE"/>
    <w:rsid w:val="00784F0A"/>
    <w:rsid w:val="00785D20"/>
    <w:rsid w:val="00786102"/>
    <w:rsid w:val="00786242"/>
    <w:rsid w:val="00787098"/>
    <w:rsid w:val="007870B7"/>
    <w:rsid w:val="00787348"/>
    <w:rsid w:val="007877A4"/>
    <w:rsid w:val="00787E9F"/>
    <w:rsid w:val="00790060"/>
    <w:rsid w:val="0079031D"/>
    <w:rsid w:val="00790916"/>
    <w:rsid w:val="00790BDF"/>
    <w:rsid w:val="0079138D"/>
    <w:rsid w:val="007918BB"/>
    <w:rsid w:val="00791CD1"/>
    <w:rsid w:val="00792917"/>
    <w:rsid w:val="007929AC"/>
    <w:rsid w:val="00793037"/>
    <w:rsid w:val="00793428"/>
    <w:rsid w:val="00793546"/>
    <w:rsid w:val="00793AC3"/>
    <w:rsid w:val="00794018"/>
    <w:rsid w:val="0079435C"/>
    <w:rsid w:val="00794655"/>
    <w:rsid w:val="00794759"/>
    <w:rsid w:val="00794A1B"/>
    <w:rsid w:val="00794DB8"/>
    <w:rsid w:val="00795764"/>
    <w:rsid w:val="00795CB6"/>
    <w:rsid w:val="00796856"/>
    <w:rsid w:val="00796B54"/>
    <w:rsid w:val="00796C71"/>
    <w:rsid w:val="00797D3C"/>
    <w:rsid w:val="007A0484"/>
    <w:rsid w:val="007A1078"/>
    <w:rsid w:val="007A12D7"/>
    <w:rsid w:val="007A1615"/>
    <w:rsid w:val="007A182A"/>
    <w:rsid w:val="007A1897"/>
    <w:rsid w:val="007A1A0D"/>
    <w:rsid w:val="007A24B2"/>
    <w:rsid w:val="007A2682"/>
    <w:rsid w:val="007A3992"/>
    <w:rsid w:val="007A4A57"/>
    <w:rsid w:val="007A4B22"/>
    <w:rsid w:val="007A5C82"/>
    <w:rsid w:val="007A5D45"/>
    <w:rsid w:val="007A6243"/>
    <w:rsid w:val="007A7897"/>
    <w:rsid w:val="007A7CC7"/>
    <w:rsid w:val="007A7F7E"/>
    <w:rsid w:val="007A7FC0"/>
    <w:rsid w:val="007B02ED"/>
    <w:rsid w:val="007B040B"/>
    <w:rsid w:val="007B06B4"/>
    <w:rsid w:val="007B0F02"/>
    <w:rsid w:val="007B10B1"/>
    <w:rsid w:val="007B226F"/>
    <w:rsid w:val="007B3964"/>
    <w:rsid w:val="007B4246"/>
    <w:rsid w:val="007B4BA2"/>
    <w:rsid w:val="007B5639"/>
    <w:rsid w:val="007B6854"/>
    <w:rsid w:val="007B707F"/>
    <w:rsid w:val="007B77C8"/>
    <w:rsid w:val="007B78F3"/>
    <w:rsid w:val="007B7C43"/>
    <w:rsid w:val="007C17D6"/>
    <w:rsid w:val="007C1BBC"/>
    <w:rsid w:val="007C1FE5"/>
    <w:rsid w:val="007C21E8"/>
    <w:rsid w:val="007C26A2"/>
    <w:rsid w:val="007C2F80"/>
    <w:rsid w:val="007C31A0"/>
    <w:rsid w:val="007C33AD"/>
    <w:rsid w:val="007C3652"/>
    <w:rsid w:val="007C3B0D"/>
    <w:rsid w:val="007C3F6D"/>
    <w:rsid w:val="007C44D8"/>
    <w:rsid w:val="007C5AF9"/>
    <w:rsid w:val="007C671E"/>
    <w:rsid w:val="007C6C6C"/>
    <w:rsid w:val="007C6DFB"/>
    <w:rsid w:val="007C6EAE"/>
    <w:rsid w:val="007C6FB0"/>
    <w:rsid w:val="007C6FD8"/>
    <w:rsid w:val="007C708F"/>
    <w:rsid w:val="007C70C5"/>
    <w:rsid w:val="007C738A"/>
    <w:rsid w:val="007C7C4A"/>
    <w:rsid w:val="007D011B"/>
    <w:rsid w:val="007D05B6"/>
    <w:rsid w:val="007D0C8C"/>
    <w:rsid w:val="007D0EA7"/>
    <w:rsid w:val="007D13F3"/>
    <w:rsid w:val="007D2102"/>
    <w:rsid w:val="007D24B0"/>
    <w:rsid w:val="007D2B61"/>
    <w:rsid w:val="007D4153"/>
    <w:rsid w:val="007D42F7"/>
    <w:rsid w:val="007D4705"/>
    <w:rsid w:val="007D4BEB"/>
    <w:rsid w:val="007D5524"/>
    <w:rsid w:val="007D650C"/>
    <w:rsid w:val="007D6742"/>
    <w:rsid w:val="007D6CEA"/>
    <w:rsid w:val="007D6E83"/>
    <w:rsid w:val="007D72FF"/>
    <w:rsid w:val="007D73EE"/>
    <w:rsid w:val="007D7B3D"/>
    <w:rsid w:val="007D7B4F"/>
    <w:rsid w:val="007D7B7E"/>
    <w:rsid w:val="007D7E9A"/>
    <w:rsid w:val="007E0007"/>
    <w:rsid w:val="007E0102"/>
    <w:rsid w:val="007E027D"/>
    <w:rsid w:val="007E0994"/>
    <w:rsid w:val="007E154C"/>
    <w:rsid w:val="007E1904"/>
    <w:rsid w:val="007E2C18"/>
    <w:rsid w:val="007E3512"/>
    <w:rsid w:val="007E36B2"/>
    <w:rsid w:val="007E3E33"/>
    <w:rsid w:val="007E4140"/>
    <w:rsid w:val="007E4C52"/>
    <w:rsid w:val="007E67EC"/>
    <w:rsid w:val="007E6AEF"/>
    <w:rsid w:val="007E6B41"/>
    <w:rsid w:val="007E6E50"/>
    <w:rsid w:val="007E6FD7"/>
    <w:rsid w:val="007E71ED"/>
    <w:rsid w:val="007E7291"/>
    <w:rsid w:val="007E72A0"/>
    <w:rsid w:val="007E736E"/>
    <w:rsid w:val="007E7920"/>
    <w:rsid w:val="007E7E19"/>
    <w:rsid w:val="007E7F52"/>
    <w:rsid w:val="007F00EA"/>
    <w:rsid w:val="007F06C4"/>
    <w:rsid w:val="007F0FF0"/>
    <w:rsid w:val="007F1249"/>
    <w:rsid w:val="007F1324"/>
    <w:rsid w:val="007F172F"/>
    <w:rsid w:val="007F1B29"/>
    <w:rsid w:val="007F1CB4"/>
    <w:rsid w:val="007F31E3"/>
    <w:rsid w:val="007F35DA"/>
    <w:rsid w:val="007F3E6E"/>
    <w:rsid w:val="007F3F1B"/>
    <w:rsid w:val="007F403C"/>
    <w:rsid w:val="007F444B"/>
    <w:rsid w:val="007F4FF8"/>
    <w:rsid w:val="007F6103"/>
    <w:rsid w:val="007F71A3"/>
    <w:rsid w:val="007F7658"/>
    <w:rsid w:val="007F79EF"/>
    <w:rsid w:val="007F7A43"/>
    <w:rsid w:val="007F7D28"/>
    <w:rsid w:val="008001B3"/>
    <w:rsid w:val="008005C5"/>
    <w:rsid w:val="00801005"/>
    <w:rsid w:val="00801476"/>
    <w:rsid w:val="0080198D"/>
    <w:rsid w:val="00801A62"/>
    <w:rsid w:val="00801D4A"/>
    <w:rsid w:val="008033EC"/>
    <w:rsid w:val="00803AC5"/>
    <w:rsid w:val="00803D12"/>
    <w:rsid w:val="00804C11"/>
    <w:rsid w:val="00805401"/>
    <w:rsid w:val="0080583F"/>
    <w:rsid w:val="00805F79"/>
    <w:rsid w:val="00806149"/>
    <w:rsid w:val="00806B07"/>
    <w:rsid w:val="0080732B"/>
    <w:rsid w:val="008074AA"/>
    <w:rsid w:val="008076CA"/>
    <w:rsid w:val="008107BF"/>
    <w:rsid w:val="00810914"/>
    <w:rsid w:val="00810976"/>
    <w:rsid w:val="00810C94"/>
    <w:rsid w:val="00810D77"/>
    <w:rsid w:val="0081118E"/>
    <w:rsid w:val="008118AD"/>
    <w:rsid w:val="00811D57"/>
    <w:rsid w:val="008123F1"/>
    <w:rsid w:val="00812BC2"/>
    <w:rsid w:val="00813590"/>
    <w:rsid w:val="00813645"/>
    <w:rsid w:val="00813E60"/>
    <w:rsid w:val="00814225"/>
    <w:rsid w:val="0081469B"/>
    <w:rsid w:val="00814795"/>
    <w:rsid w:val="00815082"/>
    <w:rsid w:val="0081589C"/>
    <w:rsid w:val="00815954"/>
    <w:rsid w:val="0081625D"/>
    <w:rsid w:val="0081644D"/>
    <w:rsid w:val="008177E8"/>
    <w:rsid w:val="00820322"/>
    <w:rsid w:val="00820491"/>
    <w:rsid w:val="00820E31"/>
    <w:rsid w:val="0082122D"/>
    <w:rsid w:val="00821DFD"/>
    <w:rsid w:val="00822E56"/>
    <w:rsid w:val="008230C0"/>
    <w:rsid w:val="00823511"/>
    <w:rsid w:val="00824A4A"/>
    <w:rsid w:val="008252B7"/>
    <w:rsid w:val="00825C33"/>
    <w:rsid w:val="0082678E"/>
    <w:rsid w:val="00826A4B"/>
    <w:rsid w:val="008277FA"/>
    <w:rsid w:val="00830253"/>
    <w:rsid w:val="008309F9"/>
    <w:rsid w:val="00830C65"/>
    <w:rsid w:val="00830CD3"/>
    <w:rsid w:val="00830CEF"/>
    <w:rsid w:val="00830E9F"/>
    <w:rsid w:val="00831FB4"/>
    <w:rsid w:val="00833BFB"/>
    <w:rsid w:val="00833E56"/>
    <w:rsid w:val="00833FCA"/>
    <w:rsid w:val="008345F0"/>
    <w:rsid w:val="00835155"/>
    <w:rsid w:val="00835A3C"/>
    <w:rsid w:val="00835A5A"/>
    <w:rsid w:val="00835F28"/>
    <w:rsid w:val="00836AE9"/>
    <w:rsid w:val="008408F5"/>
    <w:rsid w:val="00841914"/>
    <w:rsid w:val="00841B70"/>
    <w:rsid w:val="0084204C"/>
    <w:rsid w:val="00842A59"/>
    <w:rsid w:val="00842AEB"/>
    <w:rsid w:val="00842F01"/>
    <w:rsid w:val="0084301C"/>
    <w:rsid w:val="00843734"/>
    <w:rsid w:val="00843B38"/>
    <w:rsid w:val="00844265"/>
    <w:rsid w:val="00845660"/>
    <w:rsid w:val="00845DF0"/>
    <w:rsid w:val="00845DF9"/>
    <w:rsid w:val="00845FB7"/>
    <w:rsid w:val="00846AF7"/>
    <w:rsid w:val="008476AF"/>
    <w:rsid w:val="0085021D"/>
    <w:rsid w:val="008503CC"/>
    <w:rsid w:val="00850ACB"/>
    <w:rsid w:val="008519C2"/>
    <w:rsid w:val="008524E6"/>
    <w:rsid w:val="00852ADC"/>
    <w:rsid w:val="00853E01"/>
    <w:rsid w:val="008540AF"/>
    <w:rsid w:val="00854626"/>
    <w:rsid w:val="00854ACC"/>
    <w:rsid w:val="00854D58"/>
    <w:rsid w:val="008550BA"/>
    <w:rsid w:val="008554FF"/>
    <w:rsid w:val="0085560D"/>
    <w:rsid w:val="00855ABC"/>
    <w:rsid w:val="00855F15"/>
    <w:rsid w:val="00856AEA"/>
    <w:rsid w:val="00856B7A"/>
    <w:rsid w:val="00857244"/>
    <w:rsid w:val="008578EC"/>
    <w:rsid w:val="00857CEC"/>
    <w:rsid w:val="00860543"/>
    <w:rsid w:val="008609CE"/>
    <w:rsid w:val="00860B93"/>
    <w:rsid w:val="00860C8D"/>
    <w:rsid w:val="00861364"/>
    <w:rsid w:val="00861A56"/>
    <w:rsid w:val="00861EF9"/>
    <w:rsid w:val="0086212C"/>
    <w:rsid w:val="008635CC"/>
    <w:rsid w:val="00863D4E"/>
    <w:rsid w:val="008647BE"/>
    <w:rsid w:val="008648A6"/>
    <w:rsid w:val="00865EAE"/>
    <w:rsid w:val="00866727"/>
    <w:rsid w:val="00867756"/>
    <w:rsid w:val="00867FB2"/>
    <w:rsid w:val="00867FE5"/>
    <w:rsid w:val="008701DA"/>
    <w:rsid w:val="008701E8"/>
    <w:rsid w:val="0087039F"/>
    <w:rsid w:val="008704F3"/>
    <w:rsid w:val="00870AFC"/>
    <w:rsid w:val="0087123F"/>
    <w:rsid w:val="008713CB"/>
    <w:rsid w:val="00871486"/>
    <w:rsid w:val="008718C7"/>
    <w:rsid w:val="00871A02"/>
    <w:rsid w:val="008720BD"/>
    <w:rsid w:val="00872244"/>
    <w:rsid w:val="00873138"/>
    <w:rsid w:val="0087341C"/>
    <w:rsid w:val="0087486C"/>
    <w:rsid w:val="00874C18"/>
    <w:rsid w:val="00874F32"/>
    <w:rsid w:val="00875035"/>
    <w:rsid w:val="00875290"/>
    <w:rsid w:val="00875746"/>
    <w:rsid w:val="00875B55"/>
    <w:rsid w:val="00875D51"/>
    <w:rsid w:val="00876369"/>
    <w:rsid w:val="00876B0D"/>
    <w:rsid w:val="00876C3D"/>
    <w:rsid w:val="00876FEF"/>
    <w:rsid w:val="00877559"/>
    <w:rsid w:val="00877766"/>
    <w:rsid w:val="00877BA8"/>
    <w:rsid w:val="00877BB1"/>
    <w:rsid w:val="00877C91"/>
    <w:rsid w:val="00880361"/>
    <w:rsid w:val="008819C5"/>
    <w:rsid w:val="0088225F"/>
    <w:rsid w:val="0088254F"/>
    <w:rsid w:val="0088287D"/>
    <w:rsid w:val="00882918"/>
    <w:rsid w:val="00882C6F"/>
    <w:rsid w:val="00882E8F"/>
    <w:rsid w:val="0088304C"/>
    <w:rsid w:val="00883338"/>
    <w:rsid w:val="008834AF"/>
    <w:rsid w:val="0088394D"/>
    <w:rsid w:val="00883B04"/>
    <w:rsid w:val="00883D07"/>
    <w:rsid w:val="00883FA9"/>
    <w:rsid w:val="0088515C"/>
    <w:rsid w:val="0088520D"/>
    <w:rsid w:val="00885E8E"/>
    <w:rsid w:val="00885ED9"/>
    <w:rsid w:val="00885FA6"/>
    <w:rsid w:val="00886B1E"/>
    <w:rsid w:val="00887775"/>
    <w:rsid w:val="00887DEF"/>
    <w:rsid w:val="00890FB7"/>
    <w:rsid w:val="00891064"/>
    <w:rsid w:val="00891093"/>
    <w:rsid w:val="008910EB"/>
    <w:rsid w:val="00891615"/>
    <w:rsid w:val="00892102"/>
    <w:rsid w:val="00892E50"/>
    <w:rsid w:val="00892EC6"/>
    <w:rsid w:val="00893677"/>
    <w:rsid w:val="008940CF"/>
    <w:rsid w:val="0089449D"/>
    <w:rsid w:val="00895186"/>
    <w:rsid w:val="008951C0"/>
    <w:rsid w:val="0089675F"/>
    <w:rsid w:val="00896784"/>
    <w:rsid w:val="00896AEB"/>
    <w:rsid w:val="00896B88"/>
    <w:rsid w:val="00896BE3"/>
    <w:rsid w:val="00896DC1"/>
    <w:rsid w:val="008978A8"/>
    <w:rsid w:val="008978F5"/>
    <w:rsid w:val="008A018B"/>
    <w:rsid w:val="008A0973"/>
    <w:rsid w:val="008A0E35"/>
    <w:rsid w:val="008A13E6"/>
    <w:rsid w:val="008A1451"/>
    <w:rsid w:val="008A1550"/>
    <w:rsid w:val="008A1618"/>
    <w:rsid w:val="008A17B9"/>
    <w:rsid w:val="008A18E7"/>
    <w:rsid w:val="008A1E4C"/>
    <w:rsid w:val="008A27D8"/>
    <w:rsid w:val="008A2A06"/>
    <w:rsid w:val="008A2B17"/>
    <w:rsid w:val="008A2E9F"/>
    <w:rsid w:val="008A36B6"/>
    <w:rsid w:val="008A3941"/>
    <w:rsid w:val="008A3C07"/>
    <w:rsid w:val="008A4AAA"/>
    <w:rsid w:val="008A4CDA"/>
    <w:rsid w:val="008A5291"/>
    <w:rsid w:val="008A56AE"/>
    <w:rsid w:val="008A58E2"/>
    <w:rsid w:val="008A62AB"/>
    <w:rsid w:val="008A63E7"/>
    <w:rsid w:val="008A68F5"/>
    <w:rsid w:val="008A6A8D"/>
    <w:rsid w:val="008B04DF"/>
    <w:rsid w:val="008B180F"/>
    <w:rsid w:val="008B2919"/>
    <w:rsid w:val="008B2FFB"/>
    <w:rsid w:val="008B3196"/>
    <w:rsid w:val="008B3766"/>
    <w:rsid w:val="008B3FB5"/>
    <w:rsid w:val="008B3FC5"/>
    <w:rsid w:val="008B4335"/>
    <w:rsid w:val="008B4692"/>
    <w:rsid w:val="008B4810"/>
    <w:rsid w:val="008B4DA9"/>
    <w:rsid w:val="008B4FCE"/>
    <w:rsid w:val="008B6D28"/>
    <w:rsid w:val="008B6DD3"/>
    <w:rsid w:val="008B7524"/>
    <w:rsid w:val="008B7A9F"/>
    <w:rsid w:val="008B7BC3"/>
    <w:rsid w:val="008B7E2E"/>
    <w:rsid w:val="008B7FFE"/>
    <w:rsid w:val="008C00FC"/>
    <w:rsid w:val="008C050F"/>
    <w:rsid w:val="008C0F66"/>
    <w:rsid w:val="008C10F0"/>
    <w:rsid w:val="008C1787"/>
    <w:rsid w:val="008C17C9"/>
    <w:rsid w:val="008C2B4D"/>
    <w:rsid w:val="008C3566"/>
    <w:rsid w:val="008C3BAA"/>
    <w:rsid w:val="008C3EBB"/>
    <w:rsid w:val="008C4B96"/>
    <w:rsid w:val="008C501D"/>
    <w:rsid w:val="008C5586"/>
    <w:rsid w:val="008C5648"/>
    <w:rsid w:val="008C5A2B"/>
    <w:rsid w:val="008C5FA9"/>
    <w:rsid w:val="008C69BC"/>
    <w:rsid w:val="008C6CE3"/>
    <w:rsid w:val="008C7277"/>
    <w:rsid w:val="008C76CB"/>
    <w:rsid w:val="008D0086"/>
    <w:rsid w:val="008D022A"/>
    <w:rsid w:val="008D08F6"/>
    <w:rsid w:val="008D0FD0"/>
    <w:rsid w:val="008D1078"/>
    <w:rsid w:val="008D1406"/>
    <w:rsid w:val="008D1A61"/>
    <w:rsid w:val="008D24C9"/>
    <w:rsid w:val="008D25CB"/>
    <w:rsid w:val="008D2601"/>
    <w:rsid w:val="008D2F2D"/>
    <w:rsid w:val="008D41F9"/>
    <w:rsid w:val="008D462B"/>
    <w:rsid w:val="008D4732"/>
    <w:rsid w:val="008D4A59"/>
    <w:rsid w:val="008D4C9B"/>
    <w:rsid w:val="008D5070"/>
    <w:rsid w:val="008D5112"/>
    <w:rsid w:val="008D591C"/>
    <w:rsid w:val="008D5C2E"/>
    <w:rsid w:val="008D6286"/>
    <w:rsid w:val="008D67CC"/>
    <w:rsid w:val="008D6A29"/>
    <w:rsid w:val="008D6EFB"/>
    <w:rsid w:val="008D6F39"/>
    <w:rsid w:val="008D7134"/>
    <w:rsid w:val="008E1598"/>
    <w:rsid w:val="008E16AB"/>
    <w:rsid w:val="008E1C5C"/>
    <w:rsid w:val="008E22B9"/>
    <w:rsid w:val="008E2E59"/>
    <w:rsid w:val="008E31A4"/>
    <w:rsid w:val="008E3B94"/>
    <w:rsid w:val="008E424D"/>
    <w:rsid w:val="008E46EB"/>
    <w:rsid w:val="008E478F"/>
    <w:rsid w:val="008E48DD"/>
    <w:rsid w:val="008E4D4C"/>
    <w:rsid w:val="008E5C3E"/>
    <w:rsid w:val="008E62CD"/>
    <w:rsid w:val="008E63BE"/>
    <w:rsid w:val="008E69C8"/>
    <w:rsid w:val="008E70B1"/>
    <w:rsid w:val="008E74CF"/>
    <w:rsid w:val="008E7977"/>
    <w:rsid w:val="008E79AA"/>
    <w:rsid w:val="008F053A"/>
    <w:rsid w:val="008F0D76"/>
    <w:rsid w:val="008F0F8A"/>
    <w:rsid w:val="008F151C"/>
    <w:rsid w:val="008F1F8D"/>
    <w:rsid w:val="008F217F"/>
    <w:rsid w:val="008F294D"/>
    <w:rsid w:val="008F2A95"/>
    <w:rsid w:val="008F2E58"/>
    <w:rsid w:val="008F2F47"/>
    <w:rsid w:val="008F39C1"/>
    <w:rsid w:val="008F454C"/>
    <w:rsid w:val="008F48C8"/>
    <w:rsid w:val="008F4942"/>
    <w:rsid w:val="008F4B51"/>
    <w:rsid w:val="008F4DA0"/>
    <w:rsid w:val="008F55C1"/>
    <w:rsid w:val="008F59E4"/>
    <w:rsid w:val="008F5D42"/>
    <w:rsid w:val="008F6595"/>
    <w:rsid w:val="008F6641"/>
    <w:rsid w:val="008F6747"/>
    <w:rsid w:val="008F6AE9"/>
    <w:rsid w:val="008F6BF6"/>
    <w:rsid w:val="008F7441"/>
    <w:rsid w:val="008F76BC"/>
    <w:rsid w:val="008F790D"/>
    <w:rsid w:val="008F7AFD"/>
    <w:rsid w:val="008F7AFE"/>
    <w:rsid w:val="0090016D"/>
    <w:rsid w:val="0090039F"/>
    <w:rsid w:val="00900ACF"/>
    <w:rsid w:val="009010EA"/>
    <w:rsid w:val="00901AC4"/>
    <w:rsid w:val="00901BAC"/>
    <w:rsid w:val="00902221"/>
    <w:rsid w:val="00902D07"/>
    <w:rsid w:val="00902DE1"/>
    <w:rsid w:val="00903DF8"/>
    <w:rsid w:val="00903E97"/>
    <w:rsid w:val="00905362"/>
    <w:rsid w:val="0090598A"/>
    <w:rsid w:val="00906CF6"/>
    <w:rsid w:val="00906EA8"/>
    <w:rsid w:val="00907D6F"/>
    <w:rsid w:val="00907F7E"/>
    <w:rsid w:val="009113AD"/>
    <w:rsid w:val="0091144C"/>
    <w:rsid w:val="00911C7B"/>
    <w:rsid w:val="00911F7E"/>
    <w:rsid w:val="0091211C"/>
    <w:rsid w:val="00912248"/>
    <w:rsid w:val="00912AA2"/>
    <w:rsid w:val="00912AE9"/>
    <w:rsid w:val="009130E3"/>
    <w:rsid w:val="00913299"/>
    <w:rsid w:val="009139BB"/>
    <w:rsid w:val="00913E23"/>
    <w:rsid w:val="00913E5E"/>
    <w:rsid w:val="009140F1"/>
    <w:rsid w:val="009146F7"/>
    <w:rsid w:val="009149BB"/>
    <w:rsid w:val="00915672"/>
    <w:rsid w:val="0091572B"/>
    <w:rsid w:val="009157AE"/>
    <w:rsid w:val="0091580E"/>
    <w:rsid w:val="009166F8"/>
    <w:rsid w:val="009170DC"/>
    <w:rsid w:val="00917871"/>
    <w:rsid w:val="00917DBA"/>
    <w:rsid w:val="00920499"/>
    <w:rsid w:val="009209F8"/>
    <w:rsid w:val="00921BA9"/>
    <w:rsid w:val="00921D4B"/>
    <w:rsid w:val="00921E30"/>
    <w:rsid w:val="00921F39"/>
    <w:rsid w:val="009223B2"/>
    <w:rsid w:val="009223DA"/>
    <w:rsid w:val="00922483"/>
    <w:rsid w:val="009237D7"/>
    <w:rsid w:val="00923A76"/>
    <w:rsid w:val="00923C7C"/>
    <w:rsid w:val="00925192"/>
    <w:rsid w:val="009253FA"/>
    <w:rsid w:val="009255FE"/>
    <w:rsid w:val="00925DD6"/>
    <w:rsid w:val="00925E50"/>
    <w:rsid w:val="00925ECC"/>
    <w:rsid w:val="00927188"/>
    <w:rsid w:val="00927487"/>
    <w:rsid w:val="00927B7A"/>
    <w:rsid w:val="009305C1"/>
    <w:rsid w:val="0093166A"/>
    <w:rsid w:val="00931C67"/>
    <w:rsid w:val="00931D52"/>
    <w:rsid w:val="00931FE6"/>
    <w:rsid w:val="00932173"/>
    <w:rsid w:val="00932BDF"/>
    <w:rsid w:val="00932CCF"/>
    <w:rsid w:val="00932FBF"/>
    <w:rsid w:val="00933447"/>
    <w:rsid w:val="009335F2"/>
    <w:rsid w:val="00933DF7"/>
    <w:rsid w:val="009340DA"/>
    <w:rsid w:val="00934FF4"/>
    <w:rsid w:val="009353FD"/>
    <w:rsid w:val="00935AF1"/>
    <w:rsid w:val="00935BF8"/>
    <w:rsid w:val="009362DF"/>
    <w:rsid w:val="00936407"/>
    <w:rsid w:val="0093737C"/>
    <w:rsid w:val="009378BC"/>
    <w:rsid w:val="00940444"/>
    <w:rsid w:val="0094049B"/>
    <w:rsid w:val="0094062D"/>
    <w:rsid w:val="009409AF"/>
    <w:rsid w:val="00940E03"/>
    <w:rsid w:val="00940FAC"/>
    <w:rsid w:val="00941220"/>
    <w:rsid w:val="00941403"/>
    <w:rsid w:val="009416C3"/>
    <w:rsid w:val="009424B7"/>
    <w:rsid w:val="009427FE"/>
    <w:rsid w:val="00943DC0"/>
    <w:rsid w:val="0094429C"/>
    <w:rsid w:val="009448E1"/>
    <w:rsid w:val="00944DBB"/>
    <w:rsid w:val="00945295"/>
    <w:rsid w:val="009452E2"/>
    <w:rsid w:val="0094621F"/>
    <w:rsid w:val="00946DF8"/>
    <w:rsid w:val="0094748F"/>
    <w:rsid w:val="009475AE"/>
    <w:rsid w:val="00947A1E"/>
    <w:rsid w:val="00947EF5"/>
    <w:rsid w:val="00950D1E"/>
    <w:rsid w:val="00950D2D"/>
    <w:rsid w:val="00950ECB"/>
    <w:rsid w:val="00951298"/>
    <w:rsid w:val="00951557"/>
    <w:rsid w:val="009518EC"/>
    <w:rsid w:val="00951FAF"/>
    <w:rsid w:val="00952504"/>
    <w:rsid w:val="009529CA"/>
    <w:rsid w:val="00952C91"/>
    <w:rsid w:val="00952E81"/>
    <w:rsid w:val="00953F43"/>
    <w:rsid w:val="0095414F"/>
    <w:rsid w:val="0095462F"/>
    <w:rsid w:val="00954661"/>
    <w:rsid w:val="00955411"/>
    <w:rsid w:val="009560D7"/>
    <w:rsid w:val="0095610C"/>
    <w:rsid w:val="00956367"/>
    <w:rsid w:val="009568D6"/>
    <w:rsid w:val="009570A6"/>
    <w:rsid w:val="00957793"/>
    <w:rsid w:val="00960450"/>
    <w:rsid w:val="009609A2"/>
    <w:rsid w:val="00960CCD"/>
    <w:rsid w:val="00960D2D"/>
    <w:rsid w:val="0096118C"/>
    <w:rsid w:val="009613AB"/>
    <w:rsid w:val="009617F8"/>
    <w:rsid w:val="009619F0"/>
    <w:rsid w:val="00961AB9"/>
    <w:rsid w:val="009625D0"/>
    <w:rsid w:val="00963843"/>
    <w:rsid w:val="00963B11"/>
    <w:rsid w:val="00963D88"/>
    <w:rsid w:val="009641C8"/>
    <w:rsid w:val="0096423A"/>
    <w:rsid w:val="00964645"/>
    <w:rsid w:val="00964681"/>
    <w:rsid w:val="00965EFA"/>
    <w:rsid w:val="00965F2D"/>
    <w:rsid w:val="00965FE7"/>
    <w:rsid w:val="009661C5"/>
    <w:rsid w:val="00966353"/>
    <w:rsid w:val="009666E5"/>
    <w:rsid w:val="00966888"/>
    <w:rsid w:val="00970A37"/>
    <w:rsid w:val="00971A1C"/>
    <w:rsid w:val="00972437"/>
    <w:rsid w:val="00972ABD"/>
    <w:rsid w:val="00972AFE"/>
    <w:rsid w:val="00973398"/>
    <w:rsid w:val="00973889"/>
    <w:rsid w:val="00973BD1"/>
    <w:rsid w:val="009748EA"/>
    <w:rsid w:val="00974E38"/>
    <w:rsid w:val="00974EB7"/>
    <w:rsid w:val="009751D2"/>
    <w:rsid w:val="00975A66"/>
    <w:rsid w:val="00975B85"/>
    <w:rsid w:val="00975D16"/>
    <w:rsid w:val="00975F0C"/>
    <w:rsid w:val="009766D9"/>
    <w:rsid w:val="00976CC0"/>
    <w:rsid w:val="0097771B"/>
    <w:rsid w:val="00977759"/>
    <w:rsid w:val="00977869"/>
    <w:rsid w:val="009778E2"/>
    <w:rsid w:val="00977EF0"/>
    <w:rsid w:val="00980153"/>
    <w:rsid w:val="00980219"/>
    <w:rsid w:val="00980EF7"/>
    <w:rsid w:val="0098167A"/>
    <w:rsid w:val="00982303"/>
    <w:rsid w:val="009823EF"/>
    <w:rsid w:val="00982CE0"/>
    <w:rsid w:val="00982ECF"/>
    <w:rsid w:val="00984017"/>
    <w:rsid w:val="0098414A"/>
    <w:rsid w:val="009855A2"/>
    <w:rsid w:val="00985DA3"/>
    <w:rsid w:val="00985ECE"/>
    <w:rsid w:val="00985EF3"/>
    <w:rsid w:val="00986378"/>
    <w:rsid w:val="00986B48"/>
    <w:rsid w:val="009870C4"/>
    <w:rsid w:val="0098736A"/>
    <w:rsid w:val="00990F02"/>
    <w:rsid w:val="0099100B"/>
    <w:rsid w:val="00991759"/>
    <w:rsid w:val="00991922"/>
    <w:rsid w:val="00991E9A"/>
    <w:rsid w:val="00992B99"/>
    <w:rsid w:val="00992D41"/>
    <w:rsid w:val="00992FEC"/>
    <w:rsid w:val="0099376B"/>
    <w:rsid w:val="009938A0"/>
    <w:rsid w:val="00994010"/>
    <w:rsid w:val="00994EA3"/>
    <w:rsid w:val="009953EE"/>
    <w:rsid w:val="00995559"/>
    <w:rsid w:val="00995A43"/>
    <w:rsid w:val="00996E7B"/>
    <w:rsid w:val="00996E7D"/>
    <w:rsid w:val="009A00BD"/>
    <w:rsid w:val="009A0728"/>
    <w:rsid w:val="009A0C67"/>
    <w:rsid w:val="009A1AB5"/>
    <w:rsid w:val="009A1BCD"/>
    <w:rsid w:val="009A1F85"/>
    <w:rsid w:val="009A20A9"/>
    <w:rsid w:val="009A2585"/>
    <w:rsid w:val="009A2863"/>
    <w:rsid w:val="009A296E"/>
    <w:rsid w:val="009A3D62"/>
    <w:rsid w:val="009A4060"/>
    <w:rsid w:val="009A41EB"/>
    <w:rsid w:val="009A4424"/>
    <w:rsid w:val="009A70A6"/>
    <w:rsid w:val="009A710A"/>
    <w:rsid w:val="009A7509"/>
    <w:rsid w:val="009A7BFB"/>
    <w:rsid w:val="009A7C66"/>
    <w:rsid w:val="009A7E64"/>
    <w:rsid w:val="009B08E9"/>
    <w:rsid w:val="009B099E"/>
    <w:rsid w:val="009B10B3"/>
    <w:rsid w:val="009B11E4"/>
    <w:rsid w:val="009B264C"/>
    <w:rsid w:val="009B2E59"/>
    <w:rsid w:val="009B2F34"/>
    <w:rsid w:val="009B30E1"/>
    <w:rsid w:val="009B3AFA"/>
    <w:rsid w:val="009B3D15"/>
    <w:rsid w:val="009B636D"/>
    <w:rsid w:val="009B67EA"/>
    <w:rsid w:val="009B6A50"/>
    <w:rsid w:val="009B78E4"/>
    <w:rsid w:val="009B7FDE"/>
    <w:rsid w:val="009C02FF"/>
    <w:rsid w:val="009C0A92"/>
    <w:rsid w:val="009C1368"/>
    <w:rsid w:val="009C1CC3"/>
    <w:rsid w:val="009C2126"/>
    <w:rsid w:val="009C2552"/>
    <w:rsid w:val="009C3031"/>
    <w:rsid w:val="009C34C1"/>
    <w:rsid w:val="009C35ED"/>
    <w:rsid w:val="009C48E2"/>
    <w:rsid w:val="009C48FE"/>
    <w:rsid w:val="009C5649"/>
    <w:rsid w:val="009C571F"/>
    <w:rsid w:val="009C5F98"/>
    <w:rsid w:val="009C6695"/>
    <w:rsid w:val="009C677F"/>
    <w:rsid w:val="009C68A6"/>
    <w:rsid w:val="009C7483"/>
    <w:rsid w:val="009C7980"/>
    <w:rsid w:val="009C7B0A"/>
    <w:rsid w:val="009D035D"/>
    <w:rsid w:val="009D156B"/>
    <w:rsid w:val="009D164E"/>
    <w:rsid w:val="009D1744"/>
    <w:rsid w:val="009D2093"/>
    <w:rsid w:val="009D221E"/>
    <w:rsid w:val="009D29B0"/>
    <w:rsid w:val="009D2A7B"/>
    <w:rsid w:val="009D2EA9"/>
    <w:rsid w:val="009D3FDD"/>
    <w:rsid w:val="009D4203"/>
    <w:rsid w:val="009D4CA0"/>
    <w:rsid w:val="009D5B38"/>
    <w:rsid w:val="009D5DCE"/>
    <w:rsid w:val="009D662D"/>
    <w:rsid w:val="009D6D8B"/>
    <w:rsid w:val="009D77E9"/>
    <w:rsid w:val="009D7BAE"/>
    <w:rsid w:val="009E0B3A"/>
    <w:rsid w:val="009E0FF5"/>
    <w:rsid w:val="009E255A"/>
    <w:rsid w:val="009E2764"/>
    <w:rsid w:val="009E2845"/>
    <w:rsid w:val="009E295C"/>
    <w:rsid w:val="009E2C66"/>
    <w:rsid w:val="009E31FE"/>
    <w:rsid w:val="009E33EC"/>
    <w:rsid w:val="009E41AC"/>
    <w:rsid w:val="009E4779"/>
    <w:rsid w:val="009E4F76"/>
    <w:rsid w:val="009E51E1"/>
    <w:rsid w:val="009E526D"/>
    <w:rsid w:val="009E5B52"/>
    <w:rsid w:val="009E5F84"/>
    <w:rsid w:val="009E661E"/>
    <w:rsid w:val="009E6BD1"/>
    <w:rsid w:val="009E6BF4"/>
    <w:rsid w:val="009E6FF7"/>
    <w:rsid w:val="009E71C2"/>
    <w:rsid w:val="009E729B"/>
    <w:rsid w:val="009E73B0"/>
    <w:rsid w:val="009E74C4"/>
    <w:rsid w:val="009E7992"/>
    <w:rsid w:val="009E7E91"/>
    <w:rsid w:val="009F0447"/>
    <w:rsid w:val="009F0CBC"/>
    <w:rsid w:val="009F1A86"/>
    <w:rsid w:val="009F2166"/>
    <w:rsid w:val="009F2244"/>
    <w:rsid w:val="009F23B3"/>
    <w:rsid w:val="009F2987"/>
    <w:rsid w:val="009F2BC6"/>
    <w:rsid w:val="009F32D2"/>
    <w:rsid w:val="009F3FA1"/>
    <w:rsid w:val="009F3FEE"/>
    <w:rsid w:val="009F486D"/>
    <w:rsid w:val="009F5829"/>
    <w:rsid w:val="009F5F95"/>
    <w:rsid w:val="009F5FAF"/>
    <w:rsid w:val="009F64ED"/>
    <w:rsid w:val="009F67AE"/>
    <w:rsid w:val="009F6A0F"/>
    <w:rsid w:val="009F6E80"/>
    <w:rsid w:val="009F7130"/>
    <w:rsid w:val="009F72ED"/>
    <w:rsid w:val="009F764B"/>
    <w:rsid w:val="009F79FA"/>
    <w:rsid w:val="00A001C1"/>
    <w:rsid w:val="00A0037B"/>
    <w:rsid w:val="00A004EA"/>
    <w:rsid w:val="00A01DD7"/>
    <w:rsid w:val="00A0205B"/>
    <w:rsid w:val="00A02AEA"/>
    <w:rsid w:val="00A0365E"/>
    <w:rsid w:val="00A03DBA"/>
    <w:rsid w:val="00A03F7C"/>
    <w:rsid w:val="00A040F4"/>
    <w:rsid w:val="00A04183"/>
    <w:rsid w:val="00A043EF"/>
    <w:rsid w:val="00A046E5"/>
    <w:rsid w:val="00A047BC"/>
    <w:rsid w:val="00A05340"/>
    <w:rsid w:val="00A053E8"/>
    <w:rsid w:val="00A05931"/>
    <w:rsid w:val="00A05AE6"/>
    <w:rsid w:val="00A067B7"/>
    <w:rsid w:val="00A076AF"/>
    <w:rsid w:val="00A07C06"/>
    <w:rsid w:val="00A07F12"/>
    <w:rsid w:val="00A1008D"/>
    <w:rsid w:val="00A101B4"/>
    <w:rsid w:val="00A101C3"/>
    <w:rsid w:val="00A11747"/>
    <w:rsid w:val="00A125AA"/>
    <w:rsid w:val="00A12623"/>
    <w:rsid w:val="00A12633"/>
    <w:rsid w:val="00A128A9"/>
    <w:rsid w:val="00A129CE"/>
    <w:rsid w:val="00A133A8"/>
    <w:rsid w:val="00A133FC"/>
    <w:rsid w:val="00A13D19"/>
    <w:rsid w:val="00A13DD0"/>
    <w:rsid w:val="00A14A4A"/>
    <w:rsid w:val="00A156A5"/>
    <w:rsid w:val="00A15C87"/>
    <w:rsid w:val="00A15CED"/>
    <w:rsid w:val="00A163E3"/>
    <w:rsid w:val="00A168B1"/>
    <w:rsid w:val="00A16F5D"/>
    <w:rsid w:val="00A1786F"/>
    <w:rsid w:val="00A17E75"/>
    <w:rsid w:val="00A2036A"/>
    <w:rsid w:val="00A20DA5"/>
    <w:rsid w:val="00A21AD2"/>
    <w:rsid w:val="00A21E75"/>
    <w:rsid w:val="00A227D8"/>
    <w:rsid w:val="00A232D0"/>
    <w:rsid w:val="00A23640"/>
    <w:rsid w:val="00A23BB1"/>
    <w:rsid w:val="00A24B6E"/>
    <w:rsid w:val="00A24C50"/>
    <w:rsid w:val="00A24F70"/>
    <w:rsid w:val="00A2513C"/>
    <w:rsid w:val="00A263ED"/>
    <w:rsid w:val="00A26A4E"/>
    <w:rsid w:val="00A273BB"/>
    <w:rsid w:val="00A27523"/>
    <w:rsid w:val="00A277A7"/>
    <w:rsid w:val="00A27925"/>
    <w:rsid w:val="00A30082"/>
    <w:rsid w:val="00A3017F"/>
    <w:rsid w:val="00A30825"/>
    <w:rsid w:val="00A30D24"/>
    <w:rsid w:val="00A30D41"/>
    <w:rsid w:val="00A30EA6"/>
    <w:rsid w:val="00A3173C"/>
    <w:rsid w:val="00A318A6"/>
    <w:rsid w:val="00A31A21"/>
    <w:rsid w:val="00A32228"/>
    <w:rsid w:val="00A3231B"/>
    <w:rsid w:val="00A32B7F"/>
    <w:rsid w:val="00A32DC9"/>
    <w:rsid w:val="00A33638"/>
    <w:rsid w:val="00A33ECD"/>
    <w:rsid w:val="00A34308"/>
    <w:rsid w:val="00A34A9E"/>
    <w:rsid w:val="00A34F4E"/>
    <w:rsid w:val="00A3513E"/>
    <w:rsid w:val="00A356EC"/>
    <w:rsid w:val="00A35B1F"/>
    <w:rsid w:val="00A35B5C"/>
    <w:rsid w:val="00A3638B"/>
    <w:rsid w:val="00A36543"/>
    <w:rsid w:val="00A36546"/>
    <w:rsid w:val="00A36A66"/>
    <w:rsid w:val="00A3715C"/>
    <w:rsid w:val="00A37418"/>
    <w:rsid w:val="00A374CC"/>
    <w:rsid w:val="00A37FD6"/>
    <w:rsid w:val="00A4021A"/>
    <w:rsid w:val="00A40A2A"/>
    <w:rsid w:val="00A4198E"/>
    <w:rsid w:val="00A42194"/>
    <w:rsid w:val="00A42711"/>
    <w:rsid w:val="00A42A25"/>
    <w:rsid w:val="00A42BA8"/>
    <w:rsid w:val="00A42DEE"/>
    <w:rsid w:val="00A43667"/>
    <w:rsid w:val="00A43DB8"/>
    <w:rsid w:val="00A43F1C"/>
    <w:rsid w:val="00A441AA"/>
    <w:rsid w:val="00A44660"/>
    <w:rsid w:val="00A45912"/>
    <w:rsid w:val="00A45A03"/>
    <w:rsid w:val="00A45B59"/>
    <w:rsid w:val="00A45ECF"/>
    <w:rsid w:val="00A46AD6"/>
    <w:rsid w:val="00A472CD"/>
    <w:rsid w:val="00A50281"/>
    <w:rsid w:val="00A5031B"/>
    <w:rsid w:val="00A5095C"/>
    <w:rsid w:val="00A5098B"/>
    <w:rsid w:val="00A51338"/>
    <w:rsid w:val="00A527FA"/>
    <w:rsid w:val="00A52AFB"/>
    <w:rsid w:val="00A535E4"/>
    <w:rsid w:val="00A53738"/>
    <w:rsid w:val="00A538AE"/>
    <w:rsid w:val="00A53E06"/>
    <w:rsid w:val="00A545EB"/>
    <w:rsid w:val="00A547D7"/>
    <w:rsid w:val="00A55A89"/>
    <w:rsid w:val="00A55C78"/>
    <w:rsid w:val="00A56345"/>
    <w:rsid w:val="00A56506"/>
    <w:rsid w:val="00A56D48"/>
    <w:rsid w:val="00A56DCD"/>
    <w:rsid w:val="00A57534"/>
    <w:rsid w:val="00A57869"/>
    <w:rsid w:val="00A606BF"/>
    <w:rsid w:val="00A60934"/>
    <w:rsid w:val="00A60A42"/>
    <w:rsid w:val="00A60D39"/>
    <w:rsid w:val="00A60E5A"/>
    <w:rsid w:val="00A6125D"/>
    <w:rsid w:val="00A612DA"/>
    <w:rsid w:val="00A61D99"/>
    <w:rsid w:val="00A61F81"/>
    <w:rsid w:val="00A6262C"/>
    <w:rsid w:val="00A62638"/>
    <w:rsid w:val="00A62697"/>
    <w:rsid w:val="00A6284F"/>
    <w:rsid w:val="00A62D08"/>
    <w:rsid w:val="00A63431"/>
    <w:rsid w:val="00A63963"/>
    <w:rsid w:val="00A63C29"/>
    <w:rsid w:val="00A64195"/>
    <w:rsid w:val="00A648B6"/>
    <w:rsid w:val="00A64D2D"/>
    <w:rsid w:val="00A64E3D"/>
    <w:rsid w:val="00A64E97"/>
    <w:rsid w:val="00A663B8"/>
    <w:rsid w:val="00A678E4"/>
    <w:rsid w:val="00A67EA5"/>
    <w:rsid w:val="00A705C7"/>
    <w:rsid w:val="00A705E6"/>
    <w:rsid w:val="00A7069F"/>
    <w:rsid w:val="00A70BCE"/>
    <w:rsid w:val="00A7128C"/>
    <w:rsid w:val="00A71348"/>
    <w:rsid w:val="00A71362"/>
    <w:rsid w:val="00A7156B"/>
    <w:rsid w:val="00A7167E"/>
    <w:rsid w:val="00A716F3"/>
    <w:rsid w:val="00A71854"/>
    <w:rsid w:val="00A736F5"/>
    <w:rsid w:val="00A73A33"/>
    <w:rsid w:val="00A73B73"/>
    <w:rsid w:val="00A73DE1"/>
    <w:rsid w:val="00A742EE"/>
    <w:rsid w:val="00A74555"/>
    <w:rsid w:val="00A74A87"/>
    <w:rsid w:val="00A753B2"/>
    <w:rsid w:val="00A76630"/>
    <w:rsid w:val="00A76A85"/>
    <w:rsid w:val="00A76B5E"/>
    <w:rsid w:val="00A76F13"/>
    <w:rsid w:val="00A77505"/>
    <w:rsid w:val="00A77A52"/>
    <w:rsid w:val="00A77AD7"/>
    <w:rsid w:val="00A80225"/>
    <w:rsid w:val="00A804B8"/>
    <w:rsid w:val="00A80F52"/>
    <w:rsid w:val="00A81A9A"/>
    <w:rsid w:val="00A82188"/>
    <w:rsid w:val="00A82668"/>
    <w:rsid w:val="00A82EA9"/>
    <w:rsid w:val="00A8350B"/>
    <w:rsid w:val="00A8360F"/>
    <w:rsid w:val="00A83F0C"/>
    <w:rsid w:val="00A85082"/>
    <w:rsid w:val="00A854B6"/>
    <w:rsid w:val="00A85708"/>
    <w:rsid w:val="00A85F34"/>
    <w:rsid w:val="00A86040"/>
    <w:rsid w:val="00A86C10"/>
    <w:rsid w:val="00A87911"/>
    <w:rsid w:val="00A87A42"/>
    <w:rsid w:val="00A87FC7"/>
    <w:rsid w:val="00A90C54"/>
    <w:rsid w:val="00A90E94"/>
    <w:rsid w:val="00A911A6"/>
    <w:rsid w:val="00A91269"/>
    <w:rsid w:val="00A91826"/>
    <w:rsid w:val="00A918AD"/>
    <w:rsid w:val="00A92018"/>
    <w:rsid w:val="00A932DF"/>
    <w:rsid w:val="00A93BDF"/>
    <w:rsid w:val="00A9415F"/>
    <w:rsid w:val="00A9426B"/>
    <w:rsid w:val="00A94560"/>
    <w:rsid w:val="00A94D62"/>
    <w:rsid w:val="00A95416"/>
    <w:rsid w:val="00A95BA6"/>
    <w:rsid w:val="00A95C8C"/>
    <w:rsid w:val="00A96166"/>
    <w:rsid w:val="00A967C2"/>
    <w:rsid w:val="00AA07AD"/>
    <w:rsid w:val="00AA11B5"/>
    <w:rsid w:val="00AA166F"/>
    <w:rsid w:val="00AA2104"/>
    <w:rsid w:val="00AA25C6"/>
    <w:rsid w:val="00AA2904"/>
    <w:rsid w:val="00AA296B"/>
    <w:rsid w:val="00AA29E8"/>
    <w:rsid w:val="00AA3845"/>
    <w:rsid w:val="00AA3891"/>
    <w:rsid w:val="00AA3DA8"/>
    <w:rsid w:val="00AA5C45"/>
    <w:rsid w:val="00AA6808"/>
    <w:rsid w:val="00AA7367"/>
    <w:rsid w:val="00AA7774"/>
    <w:rsid w:val="00AA77C3"/>
    <w:rsid w:val="00AA78A7"/>
    <w:rsid w:val="00AB0448"/>
    <w:rsid w:val="00AB0BA0"/>
    <w:rsid w:val="00AB1848"/>
    <w:rsid w:val="00AB19A6"/>
    <w:rsid w:val="00AB23ED"/>
    <w:rsid w:val="00AB249B"/>
    <w:rsid w:val="00AB26AD"/>
    <w:rsid w:val="00AB29BA"/>
    <w:rsid w:val="00AB34F5"/>
    <w:rsid w:val="00AB3AC6"/>
    <w:rsid w:val="00AB415E"/>
    <w:rsid w:val="00AB41FC"/>
    <w:rsid w:val="00AB47A7"/>
    <w:rsid w:val="00AB48A0"/>
    <w:rsid w:val="00AB51CA"/>
    <w:rsid w:val="00AB56E8"/>
    <w:rsid w:val="00AB5D47"/>
    <w:rsid w:val="00AB5D4F"/>
    <w:rsid w:val="00AB60B9"/>
    <w:rsid w:val="00AB6474"/>
    <w:rsid w:val="00AB6771"/>
    <w:rsid w:val="00AB6964"/>
    <w:rsid w:val="00AB6AAD"/>
    <w:rsid w:val="00AB7CBC"/>
    <w:rsid w:val="00AC05A8"/>
    <w:rsid w:val="00AC069F"/>
    <w:rsid w:val="00AC0C94"/>
    <w:rsid w:val="00AC1599"/>
    <w:rsid w:val="00AC2D43"/>
    <w:rsid w:val="00AC3487"/>
    <w:rsid w:val="00AC35C7"/>
    <w:rsid w:val="00AC391C"/>
    <w:rsid w:val="00AC3EA2"/>
    <w:rsid w:val="00AC458D"/>
    <w:rsid w:val="00AC4B3D"/>
    <w:rsid w:val="00AC5B11"/>
    <w:rsid w:val="00AC5E18"/>
    <w:rsid w:val="00AC67D6"/>
    <w:rsid w:val="00AC6A47"/>
    <w:rsid w:val="00AC76C6"/>
    <w:rsid w:val="00AC7AF9"/>
    <w:rsid w:val="00AD00F3"/>
    <w:rsid w:val="00AD0651"/>
    <w:rsid w:val="00AD090F"/>
    <w:rsid w:val="00AD1DD0"/>
    <w:rsid w:val="00AD20F4"/>
    <w:rsid w:val="00AD24F8"/>
    <w:rsid w:val="00AD28B5"/>
    <w:rsid w:val="00AD2E7B"/>
    <w:rsid w:val="00AD2F18"/>
    <w:rsid w:val="00AD3AE6"/>
    <w:rsid w:val="00AD3BCD"/>
    <w:rsid w:val="00AD3F92"/>
    <w:rsid w:val="00AD43CD"/>
    <w:rsid w:val="00AD468A"/>
    <w:rsid w:val="00AD480F"/>
    <w:rsid w:val="00AD4818"/>
    <w:rsid w:val="00AD4D0A"/>
    <w:rsid w:val="00AD5747"/>
    <w:rsid w:val="00AD5F42"/>
    <w:rsid w:val="00AD6217"/>
    <w:rsid w:val="00AD7019"/>
    <w:rsid w:val="00AD7383"/>
    <w:rsid w:val="00AE0025"/>
    <w:rsid w:val="00AE031E"/>
    <w:rsid w:val="00AE15DD"/>
    <w:rsid w:val="00AE1AA0"/>
    <w:rsid w:val="00AE20BB"/>
    <w:rsid w:val="00AE28F7"/>
    <w:rsid w:val="00AE2BDB"/>
    <w:rsid w:val="00AE33B2"/>
    <w:rsid w:val="00AE392F"/>
    <w:rsid w:val="00AE45F6"/>
    <w:rsid w:val="00AE4945"/>
    <w:rsid w:val="00AE4B2D"/>
    <w:rsid w:val="00AE4F36"/>
    <w:rsid w:val="00AE53EA"/>
    <w:rsid w:val="00AE6EE4"/>
    <w:rsid w:val="00AE75AC"/>
    <w:rsid w:val="00AE7B69"/>
    <w:rsid w:val="00AE7BFA"/>
    <w:rsid w:val="00AE7C01"/>
    <w:rsid w:val="00AF0546"/>
    <w:rsid w:val="00AF099E"/>
    <w:rsid w:val="00AF09AC"/>
    <w:rsid w:val="00AF0A83"/>
    <w:rsid w:val="00AF10A5"/>
    <w:rsid w:val="00AF12DA"/>
    <w:rsid w:val="00AF198B"/>
    <w:rsid w:val="00AF20F0"/>
    <w:rsid w:val="00AF2A3C"/>
    <w:rsid w:val="00AF2A43"/>
    <w:rsid w:val="00AF3338"/>
    <w:rsid w:val="00AF356D"/>
    <w:rsid w:val="00AF3CB3"/>
    <w:rsid w:val="00AF4DCA"/>
    <w:rsid w:val="00AF5157"/>
    <w:rsid w:val="00AF515C"/>
    <w:rsid w:val="00AF540E"/>
    <w:rsid w:val="00AF5532"/>
    <w:rsid w:val="00AF5863"/>
    <w:rsid w:val="00AF5AEC"/>
    <w:rsid w:val="00AF62FF"/>
    <w:rsid w:val="00AF6CF0"/>
    <w:rsid w:val="00AF7004"/>
    <w:rsid w:val="00AF72EE"/>
    <w:rsid w:val="00B00365"/>
    <w:rsid w:val="00B00527"/>
    <w:rsid w:val="00B0095A"/>
    <w:rsid w:val="00B01E4C"/>
    <w:rsid w:val="00B01F5A"/>
    <w:rsid w:val="00B01FE9"/>
    <w:rsid w:val="00B02653"/>
    <w:rsid w:val="00B026C6"/>
    <w:rsid w:val="00B02C8B"/>
    <w:rsid w:val="00B03915"/>
    <w:rsid w:val="00B0569B"/>
    <w:rsid w:val="00B057C8"/>
    <w:rsid w:val="00B05C0B"/>
    <w:rsid w:val="00B05FA7"/>
    <w:rsid w:val="00B0651E"/>
    <w:rsid w:val="00B06C3E"/>
    <w:rsid w:val="00B06CF6"/>
    <w:rsid w:val="00B06F61"/>
    <w:rsid w:val="00B076C9"/>
    <w:rsid w:val="00B07AA9"/>
    <w:rsid w:val="00B100EB"/>
    <w:rsid w:val="00B101E4"/>
    <w:rsid w:val="00B1043D"/>
    <w:rsid w:val="00B10738"/>
    <w:rsid w:val="00B1169E"/>
    <w:rsid w:val="00B11FA6"/>
    <w:rsid w:val="00B12969"/>
    <w:rsid w:val="00B132EA"/>
    <w:rsid w:val="00B13580"/>
    <w:rsid w:val="00B13C7E"/>
    <w:rsid w:val="00B14425"/>
    <w:rsid w:val="00B15260"/>
    <w:rsid w:val="00B162A7"/>
    <w:rsid w:val="00B16876"/>
    <w:rsid w:val="00B17298"/>
    <w:rsid w:val="00B1789C"/>
    <w:rsid w:val="00B17926"/>
    <w:rsid w:val="00B17ADB"/>
    <w:rsid w:val="00B20EA0"/>
    <w:rsid w:val="00B218EB"/>
    <w:rsid w:val="00B21AC5"/>
    <w:rsid w:val="00B21C31"/>
    <w:rsid w:val="00B21D30"/>
    <w:rsid w:val="00B226DA"/>
    <w:rsid w:val="00B22EAD"/>
    <w:rsid w:val="00B23440"/>
    <w:rsid w:val="00B2345A"/>
    <w:rsid w:val="00B2355B"/>
    <w:rsid w:val="00B23ACF"/>
    <w:rsid w:val="00B24F0F"/>
    <w:rsid w:val="00B24F85"/>
    <w:rsid w:val="00B24FD5"/>
    <w:rsid w:val="00B2512F"/>
    <w:rsid w:val="00B256A7"/>
    <w:rsid w:val="00B25BAF"/>
    <w:rsid w:val="00B25E2F"/>
    <w:rsid w:val="00B25F38"/>
    <w:rsid w:val="00B2621A"/>
    <w:rsid w:val="00B2688B"/>
    <w:rsid w:val="00B26DCB"/>
    <w:rsid w:val="00B26F58"/>
    <w:rsid w:val="00B274BC"/>
    <w:rsid w:val="00B27B05"/>
    <w:rsid w:val="00B27FCB"/>
    <w:rsid w:val="00B30A81"/>
    <w:rsid w:val="00B31914"/>
    <w:rsid w:val="00B31A52"/>
    <w:rsid w:val="00B32868"/>
    <w:rsid w:val="00B3305A"/>
    <w:rsid w:val="00B34471"/>
    <w:rsid w:val="00B346D9"/>
    <w:rsid w:val="00B34728"/>
    <w:rsid w:val="00B34B8C"/>
    <w:rsid w:val="00B34F7F"/>
    <w:rsid w:val="00B35180"/>
    <w:rsid w:val="00B35407"/>
    <w:rsid w:val="00B36A93"/>
    <w:rsid w:val="00B374D9"/>
    <w:rsid w:val="00B3791D"/>
    <w:rsid w:val="00B401E3"/>
    <w:rsid w:val="00B40CDA"/>
    <w:rsid w:val="00B418DF"/>
    <w:rsid w:val="00B41BAC"/>
    <w:rsid w:val="00B41EB2"/>
    <w:rsid w:val="00B41FA3"/>
    <w:rsid w:val="00B423E3"/>
    <w:rsid w:val="00B425E7"/>
    <w:rsid w:val="00B43097"/>
    <w:rsid w:val="00B43783"/>
    <w:rsid w:val="00B43B5A"/>
    <w:rsid w:val="00B446AE"/>
    <w:rsid w:val="00B4492D"/>
    <w:rsid w:val="00B44FBB"/>
    <w:rsid w:val="00B44FF7"/>
    <w:rsid w:val="00B45889"/>
    <w:rsid w:val="00B4591A"/>
    <w:rsid w:val="00B4667E"/>
    <w:rsid w:val="00B46B65"/>
    <w:rsid w:val="00B4702C"/>
    <w:rsid w:val="00B504A0"/>
    <w:rsid w:val="00B504F3"/>
    <w:rsid w:val="00B50758"/>
    <w:rsid w:val="00B50ACD"/>
    <w:rsid w:val="00B51988"/>
    <w:rsid w:val="00B524AF"/>
    <w:rsid w:val="00B5293F"/>
    <w:rsid w:val="00B52EC4"/>
    <w:rsid w:val="00B52FF0"/>
    <w:rsid w:val="00B53439"/>
    <w:rsid w:val="00B53467"/>
    <w:rsid w:val="00B53B30"/>
    <w:rsid w:val="00B53CF9"/>
    <w:rsid w:val="00B53F09"/>
    <w:rsid w:val="00B54797"/>
    <w:rsid w:val="00B5505C"/>
    <w:rsid w:val="00B564A0"/>
    <w:rsid w:val="00B56ADC"/>
    <w:rsid w:val="00B57103"/>
    <w:rsid w:val="00B5732A"/>
    <w:rsid w:val="00B57583"/>
    <w:rsid w:val="00B57957"/>
    <w:rsid w:val="00B57AA8"/>
    <w:rsid w:val="00B57DA8"/>
    <w:rsid w:val="00B57E49"/>
    <w:rsid w:val="00B60325"/>
    <w:rsid w:val="00B606D4"/>
    <w:rsid w:val="00B60B61"/>
    <w:rsid w:val="00B60F68"/>
    <w:rsid w:val="00B6123F"/>
    <w:rsid w:val="00B61EE4"/>
    <w:rsid w:val="00B6253F"/>
    <w:rsid w:val="00B63E5E"/>
    <w:rsid w:val="00B642F1"/>
    <w:rsid w:val="00B645A4"/>
    <w:rsid w:val="00B64FBE"/>
    <w:rsid w:val="00B6530D"/>
    <w:rsid w:val="00B66D71"/>
    <w:rsid w:val="00B673E3"/>
    <w:rsid w:val="00B679DD"/>
    <w:rsid w:val="00B704E1"/>
    <w:rsid w:val="00B70C8F"/>
    <w:rsid w:val="00B71126"/>
    <w:rsid w:val="00B7167E"/>
    <w:rsid w:val="00B71B74"/>
    <w:rsid w:val="00B71D93"/>
    <w:rsid w:val="00B726AA"/>
    <w:rsid w:val="00B72F21"/>
    <w:rsid w:val="00B7324A"/>
    <w:rsid w:val="00B73B0F"/>
    <w:rsid w:val="00B73C6E"/>
    <w:rsid w:val="00B74023"/>
    <w:rsid w:val="00B74A9B"/>
    <w:rsid w:val="00B75360"/>
    <w:rsid w:val="00B75C95"/>
    <w:rsid w:val="00B766EC"/>
    <w:rsid w:val="00B77744"/>
    <w:rsid w:val="00B77A6C"/>
    <w:rsid w:val="00B77C8A"/>
    <w:rsid w:val="00B77D19"/>
    <w:rsid w:val="00B800A2"/>
    <w:rsid w:val="00B81FE3"/>
    <w:rsid w:val="00B81FF4"/>
    <w:rsid w:val="00B821C1"/>
    <w:rsid w:val="00B8224D"/>
    <w:rsid w:val="00B82A59"/>
    <w:rsid w:val="00B82CDE"/>
    <w:rsid w:val="00B8365B"/>
    <w:rsid w:val="00B83E72"/>
    <w:rsid w:val="00B84362"/>
    <w:rsid w:val="00B8453E"/>
    <w:rsid w:val="00B84D3B"/>
    <w:rsid w:val="00B84E6A"/>
    <w:rsid w:val="00B8523F"/>
    <w:rsid w:val="00B85F4E"/>
    <w:rsid w:val="00B86408"/>
    <w:rsid w:val="00B866D0"/>
    <w:rsid w:val="00B87404"/>
    <w:rsid w:val="00B87B8C"/>
    <w:rsid w:val="00B902EF"/>
    <w:rsid w:val="00B904DF"/>
    <w:rsid w:val="00B91CFD"/>
    <w:rsid w:val="00B91E98"/>
    <w:rsid w:val="00B93093"/>
    <w:rsid w:val="00B93373"/>
    <w:rsid w:val="00B93930"/>
    <w:rsid w:val="00B93E2E"/>
    <w:rsid w:val="00B94084"/>
    <w:rsid w:val="00B94187"/>
    <w:rsid w:val="00B9444F"/>
    <w:rsid w:val="00B945F0"/>
    <w:rsid w:val="00B94806"/>
    <w:rsid w:val="00B949CF"/>
    <w:rsid w:val="00B94A7B"/>
    <w:rsid w:val="00B94D3D"/>
    <w:rsid w:val="00B94F0B"/>
    <w:rsid w:val="00B950AA"/>
    <w:rsid w:val="00B9520C"/>
    <w:rsid w:val="00B9550C"/>
    <w:rsid w:val="00B962BB"/>
    <w:rsid w:val="00B96781"/>
    <w:rsid w:val="00B96841"/>
    <w:rsid w:val="00B96BBA"/>
    <w:rsid w:val="00B96C0D"/>
    <w:rsid w:val="00B9718C"/>
    <w:rsid w:val="00B97265"/>
    <w:rsid w:val="00B9753A"/>
    <w:rsid w:val="00B97665"/>
    <w:rsid w:val="00B97F2B"/>
    <w:rsid w:val="00BA035B"/>
    <w:rsid w:val="00BA196E"/>
    <w:rsid w:val="00BA1C10"/>
    <w:rsid w:val="00BA1E81"/>
    <w:rsid w:val="00BA1F62"/>
    <w:rsid w:val="00BA26DA"/>
    <w:rsid w:val="00BA2A0A"/>
    <w:rsid w:val="00BA31C5"/>
    <w:rsid w:val="00BA4102"/>
    <w:rsid w:val="00BA428A"/>
    <w:rsid w:val="00BA4C4D"/>
    <w:rsid w:val="00BA5C71"/>
    <w:rsid w:val="00BA68A5"/>
    <w:rsid w:val="00BA7099"/>
    <w:rsid w:val="00BA7998"/>
    <w:rsid w:val="00BA7B34"/>
    <w:rsid w:val="00BA7E04"/>
    <w:rsid w:val="00BB0FD0"/>
    <w:rsid w:val="00BB1281"/>
    <w:rsid w:val="00BB15CF"/>
    <w:rsid w:val="00BB1CBB"/>
    <w:rsid w:val="00BB2205"/>
    <w:rsid w:val="00BB229D"/>
    <w:rsid w:val="00BB3005"/>
    <w:rsid w:val="00BB3191"/>
    <w:rsid w:val="00BB34D4"/>
    <w:rsid w:val="00BB3890"/>
    <w:rsid w:val="00BB3D26"/>
    <w:rsid w:val="00BB3D91"/>
    <w:rsid w:val="00BB3F34"/>
    <w:rsid w:val="00BB4178"/>
    <w:rsid w:val="00BB43FC"/>
    <w:rsid w:val="00BB4F67"/>
    <w:rsid w:val="00BB5043"/>
    <w:rsid w:val="00BB5B1F"/>
    <w:rsid w:val="00BB5F2D"/>
    <w:rsid w:val="00BB613A"/>
    <w:rsid w:val="00BB62A0"/>
    <w:rsid w:val="00BB6663"/>
    <w:rsid w:val="00BB6810"/>
    <w:rsid w:val="00BB6E19"/>
    <w:rsid w:val="00BB73B0"/>
    <w:rsid w:val="00BB7567"/>
    <w:rsid w:val="00BB7663"/>
    <w:rsid w:val="00BB7944"/>
    <w:rsid w:val="00BB7C70"/>
    <w:rsid w:val="00BC0D5E"/>
    <w:rsid w:val="00BC1753"/>
    <w:rsid w:val="00BC29E1"/>
    <w:rsid w:val="00BC2D84"/>
    <w:rsid w:val="00BC354D"/>
    <w:rsid w:val="00BC416E"/>
    <w:rsid w:val="00BC4216"/>
    <w:rsid w:val="00BC44DC"/>
    <w:rsid w:val="00BC4A5A"/>
    <w:rsid w:val="00BC4B68"/>
    <w:rsid w:val="00BC4D5D"/>
    <w:rsid w:val="00BC54F3"/>
    <w:rsid w:val="00BC55DD"/>
    <w:rsid w:val="00BC5DA1"/>
    <w:rsid w:val="00BC7430"/>
    <w:rsid w:val="00BC7A14"/>
    <w:rsid w:val="00BD00C9"/>
    <w:rsid w:val="00BD052A"/>
    <w:rsid w:val="00BD0A88"/>
    <w:rsid w:val="00BD0FB8"/>
    <w:rsid w:val="00BD16A2"/>
    <w:rsid w:val="00BD2045"/>
    <w:rsid w:val="00BD217A"/>
    <w:rsid w:val="00BD295D"/>
    <w:rsid w:val="00BD2B86"/>
    <w:rsid w:val="00BD3077"/>
    <w:rsid w:val="00BD315C"/>
    <w:rsid w:val="00BD3289"/>
    <w:rsid w:val="00BD348E"/>
    <w:rsid w:val="00BD3C46"/>
    <w:rsid w:val="00BD4880"/>
    <w:rsid w:val="00BD49CC"/>
    <w:rsid w:val="00BD54C9"/>
    <w:rsid w:val="00BD552A"/>
    <w:rsid w:val="00BD64B1"/>
    <w:rsid w:val="00BD69E5"/>
    <w:rsid w:val="00BD784F"/>
    <w:rsid w:val="00BD7C26"/>
    <w:rsid w:val="00BE047F"/>
    <w:rsid w:val="00BE1309"/>
    <w:rsid w:val="00BE1C4D"/>
    <w:rsid w:val="00BE1E2E"/>
    <w:rsid w:val="00BE1E9A"/>
    <w:rsid w:val="00BE209B"/>
    <w:rsid w:val="00BE231D"/>
    <w:rsid w:val="00BE29DE"/>
    <w:rsid w:val="00BE2EDD"/>
    <w:rsid w:val="00BE2F28"/>
    <w:rsid w:val="00BE387A"/>
    <w:rsid w:val="00BE473C"/>
    <w:rsid w:val="00BE4778"/>
    <w:rsid w:val="00BE4B04"/>
    <w:rsid w:val="00BE59CF"/>
    <w:rsid w:val="00BE5EFE"/>
    <w:rsid w:val="00BE6AC4"/>
    <w:rsid w:val="00BE6DC4"/>
    <w:rsid w:val="00BE6EB0"/>
    <w:rsid w:val="00BE72A3"/>
    <w:rsid w:val="00BE7936"/>
    <w:rsid w:val="00BE7D9A"/>
    <w:rsid w:val="00BE7EA9"/>
    <w:rsid w:val="00BF0DD8"/>
    <w:rsid w:val="00BF1299"/>
    <w:rsid w:val="00BF1B47"/>
    <w:rsid w:val="00BF294A"/>
    <w:rsid w:val="00BF33DC"/>
    <w:rsid w:val="00BF3625"/>
    <w:rsid w:val="00BF3A8D"/>
    <w:rsid w:val="00BF3CA6"/>
    <w:rsid w:val="00BF463F"/>
    <w:rsid w:val="00BF4DC0"/>
    <w:rsid w:val="00BF52D7"/>
    <w:rsid w:val="00BF543B"/>
    <w:rsid w:val="00BF5870"/>
    <w:rsid w:val="00BF59AA"/>
    <w:rsid w:val="00BF5AB7"/>
    <w:rsid w:val="00BF5FEB"/>
    <w:rsid w:val="00BF621C"/>
    <w:rsid w:val="00BF64DF"/>
    <w:rsid w:val="00BF65BE"/>
    <w:rsid w:val="00BF6796"/>
    <w:rsid w:val="00BF7224"/>
    <w:rsid w:val="00BF73CF"/>
    <w:rsid w:val="00BF7EBE"/>
    <w:rsid w:val="00C00150"/>
    <w:rsid w:val="00C005A8"/>
    <w:rsid w:val="00C00625"/>
    <w:rsid w:val="00C014D5"/>
    <w:rsid w:val="00C03133"/>
    <w:rsid w:val="00C03942"/>
    <w:rsid w:val="00C03A98"/>
    <w:rsid w:val="00C045E8"/>
    <w:rsid w:val="00C053FA"/>
    <w:rsid w:val="00C0578C"/>
    <w:rsid w:val="00C05B44"/>
    <w:rsid w:val="00C06293"/>
    <w:rsid w:val="00C06694"/>
    <w:rsid w:val="00C079FF"/>
    <w:rsid w:val="00C07D46"/>
    <w:rsid w:val="00C10545"/>
    <w:rsid w:val="00C10962"/>
    <w:rsid w:val="00C10A6F"/>
    <w:rsid w:val="00C10CF4"/>
    <w:rsid w:val="00C11499"/>
    <w:rsid w:val="00C11594"/>
    <w:rsid w:val="00C12FCC"/>
    <w:rsid w:val="00C1333E"/>
    <w:rsid w:val="00C13505"/>
    <w:rsid w:val="00C13B8E"/>
    <w:rsid w:val="00C13C1C"/>
    <w:rsid w:val="00C13CAD"/>
    <w:rsid w:val="00C14D9E"/>
    <w:rsid w:val="00C15269"/>
    <w:rsid w:val="00C15294"/>
    <w:rsid w:val="00C156FB"/>
    <w:rsid w:val="00C158F7"/>
    <w:rsid w:val="00C1621C"/>
    <w:rsid w:val="00C171D1"/>
    <w:rsid w:val="00C17D12"/>
    <w:rsid w:val="00C20888"/>
    <w:rsid w:val="00C2098C"/>
    <w:rsid w:val="00C20B68"/>
    <w:rsid w:val="00C20C7B"/>
    <w:rsid w:val="00C20CC4"/>
    <w:rsid w:val="00C212AE"/>
    <w:rsid w:val="00C2177A"/>
    <w:rsid w:val="00C2255A"/>
    <w:rsid w:val="00C22F3D"/>
    <w:rsid w:val="00C234C6"/>
    <w:rsid w:val="00C23C1D"/>
    <w:rsid w:val="00C23EFA"/>
    <w:rsid w:val="00C2403B"/>
    <w:rsid w:val="00C24AF1"/>
    <w:rsid w:val="00C2508C"/>
    <w:rsid w:val="00C262CD"/>
    <w:rsid w:val="00C263CF"/>
    <w:rsid w:val="00C264D8"/>
    <w:rsid w:val="00C27726"/>
    <w:rsid w:val="00C27AE3"/>
    <w:rsid w:val="00C30374"/>
    <w:rsid w:val="00C30450"/>
    <w:rsid w:val="00C30A62"/>
    <w:rsid w:val="00C311C6"/>
    <w:rsid w:val="00C314BD"/>
    <w:rsid w:val="00C319E7"/>
    <w:rsid w:val="00C323DC"/>
    <w:rsid w:val="00C329FE"/>
    <w:rsid w:val="00C33FDE"/>
    <w:rsid w:val="00C34A85"/>
    <w:rsid w:val="00C34AEB"/>
    <w:rsid w:val="00C34E60"/>
    <w:rsid w:val="00C35300"/>
    <w:rsid w:val="00C354A8"/>
    <w:rsid w:val="00C35E77"/>
    <w:rsid w:val="00C36254"/>
    <w:rsid w:val="00C3630A"/>
    <w:rsid w:val="00C363AF"/>
    <w:rsid w:val="00C37007"/>
    <w:rsid w:val="00C379EF"/>
    <w:rsid w:val="00C37B94"/>
    <w:rsid w:val="00C407BA"/>
    <w:rsid w:val="00C40BD4"/>
    <w:rsid w:val="00C41161"/>
    <w:rsid w:val="00C412C6"/>
    <w:rsid w:val="00C414F3"/>
    <w:rsid w:val="00C41735"/>
    <w:rsid w:val="00C41CFB"/>
    <w:rsid w:val="00C42A49"/>
    <w:rsid w:val="00C43103"/>
    <w:rsid w:val="00C43114"/>
    <w:rsid w:val="00C43292"/>
    <w:rsid w:val="00C435EB"/>
    <w:rsid w:val="00C4374E"/>
    <w:rsid w:val="00C4381F"/>
    <w:rsid w:val="00C44A9D"/>
    <w:rsid w:val="00C44C74"/>
    <w:rsid w:val="00C4518B"/>
    <w:rsid w:val="00C45541"/>
    <w:rsid w:val="00C45939"/>
    <w:rsid w:val="00C46D07"/>
    <w:rsid w:val="00C476F8"/>
    <w:rsid w:val="00C478D4"/>
    <w:rsid w:val="00C47933"/>
    <w:rsid w:val="00C50C6C"/>
    <w:rsid w:val="00C5172B"/>
    <w:rsid w:val="00C51C77"/>
    <w:rsid w:val="00C5266C"/>
    <w:rsid w:val="00C528C9"/>
    <w:rsid w:val="00C528E7"/>
    <w:rsid w:val="00C52B87"/>
    <w:rsid w:val="00C53353"/>
    <w:rsid w:val="00C53525"/>
    <w:rsid w:val="00C536A5"/>
    <w:rsid w:val="00C53C59"/>
    <w:rsid w:val="00C53E14"/>
    <w:rsid w:val="00C54A10"/>
    <w:rsid w:val="00C55215"/>
    <w:rsid w:val="00C5578E"/>
    <w:rsid w:val="00C5590D"/>
    <w:rsid w:val="00C56721"/>
    <w:rsid w:val="00C57653"/>
    <w:rsid w:val="00C57CFD"/>
    <w:rsid w:val="00C57DDE"/>
    <w:rsid w:val="00C60DF3"/>
    <w:rsid w:val="00C617FC"/>
    <w:rsid w:val="00C62064"/>
    <w:rsid w:val="00C62069"/>
    <w:rsid w:val="00C626B9"/>
    <w:rsid w:val="00C62881"/>
    <w:rsid w:val="00C6327B"/>
    <w:rsid w:val="00C637C8"/>
    <w:rsid w:val="00C63A72"/>
    <w:rsid w:val="00C646C9"/>
    <w:rsid w:val="00C65D1E"/>
    <w:rsid w:val="00C66C94"/>
    <w:rsid w:val="00C6743B"/>
    <w:rsid w:val="00C67852"/>
    <w:rsid w:val="00C70D4D"/>
    <w:rsid w:val="00C71620"/>
    <w:rsid w:val="00C717FA"/>
    <w:rsid w:val="00C719F4"/>
    <w:rsid w:val="00C72466"/>
    <w:rsid w:val="00C732D5"/>
    <w:rsid w:val="00C747CF"/>
    <w:rsid w:val="00C7543E"/>
    <w:rsid w:val="00C75474"/>
    <w:rsid w:val="00C75691"/>
    <w:rsid w:val="00C7575E"/>
    <w:rsid w:val="00C75EFA"/>
    <w:rsid w:val="00C75F27"/>
    <w:rsid w:val="00C75FAF"/>
    <w:rsid w:val="00C765AC"/>
    <w:rsid w:val="00C76644"/>
    <w:rsid w:val="00C7665B"/>
    <w:rsid w:val="00C76A51"/>
    <w:rsid w:val="00C76D19"/>
    <w:rsid w:val="00C76FE8"/>
    <w:rsid w:val="00C80099"/>
    <w:rsid w:val="00C802E1"/>
    <w:rsid w:val="00C8048A"/>
    <w:rsid w:val="00C80B1E"/>
    <w:rsid w:val="00C80CA2"/>
    <w:rsid w:val="00C80D40"/>
    <w:rsid w:val="00C826D3"/>
    <w:rsid w:val="00C82A08"/>
    <w:rsid w:val="00C83977"/>
    <w:rsid w:val="00C8427A"/>
    <w:rsid w:val="00C84A5A"/>
    <w:rsid w:val="00C85162"/>
    <w:rsid w:val="00C858B2"/>
    <w:rsid w:val="00C85B25"/>
    <w:rsid w:val="00C86061"/>
    <w:rsid w:val="00C862EF"/>
    <w:rsid w:val="00C86C2D"/>
    <w:rsid w:val="00C90482"/>
    <w:rsid w:val="00C9074C"/>
    <w:rsid w:val="00C90805"/>
    <w:rsid w:val="00C9098A"/>
    <w:rsid w:val="00C90CEE"/>
    <w:rsid w:val="00C9107C"/>
    <w:rsid w:val="00C9165F"/>
    <w:rsid w:val="00C91BBB"/>
    <w:rsid w:val="00C92002"/>
    <w:rsid w:val="00C923C3"/>
    <w:rsid w:val="00C93822"/>
    <w:rsid w:val="00C93D95"/>
    <w:rsid w:val="00C93DB2"/>
    <w:rsid w:val="00C94180"/>
    <w:rsid w:val="00C9479D"/>
    <w:rsid w:val="00C949F6"/>
    <w:rsid w:val="00C95C44"/>
    <w:rsid w:val="00C95D23"/>
    <w:rsid w:val="00C95E57"/>
    <w:rsid w:val="00C967CA"/>
    <w:rsid w:val="00C96FAE"/>
    <w:rsid w:val="00C9714A"/>
    <w:rsid w:val="00C974F7"/>
    <w:rsid w:val="00C97A58"/>
    <w:rsid w:val="00C97BEA"/>
    <w:rsid w:val="00C97E75"/>
    <w:rsid w:val="00CA0104"/>
    <w:rsid w:val="00CA0425"/>
    <w:rsid w:val="00CA09EE"/>
    <w:rsid w:val="00CA0E4F"/>
    <w:rsid w:val="00CA0FDF"/>
    <w:rsid w:val="00CA1F67"/>
    <w:rsid w:val="00CA2A60"/>
    <w:rsid w:val="00CA3104"/>
    <w:rsid w:val="00CA359F"/>
    <w:rsid w:val="00CA3E69"/>
    <w:rsid w:val="00CA3E74"/>
    <w:rsid w:val="00CA3FA9"/>
    <w:rsid w:val="00CA4DBB"/>
    <w:rsid w:val="00CA4EA6"/>
    <w:rsid w:val="00CA547E"/>
    <w:rsid w:val="00CA5B79"/>
    <w:rsid w:val="00CA6BA4"/>
    <w:rsid w:val="00CA6DA8"/>
    <w:rsid w:val="00CA7902"/>
    <w:rsid w:val="00CA7B2B"/>
    <w:rsid w:val="00CA7E4A"/>
    <w:rsid w:val="00CB012F"/>
    <w:rsid w:val="00CB0BA9"/>
    <w:rsid w:val="00CB13AF"/>
    <w:rsid w:val="00CB1564"/>
    <w:rsid w:val="00CB1A13"/>
    <w:rsid w:val="00CB1C2D"/>
    <w:rsid w:val="00CB21BA"/>
    <w:rsid w:val="00CB27C5"/>
    <w:rsid w:val="00CB293E"/>
    <w:rsid w:val="00CB2B86"/>
    <w:rsid w:val="00CB2E9D"/>
    <w:rsid w:val="00CB2FF2"/>
    <w:rsid w:val="00CB33EB"/>
    <w:rsid w:val="00CB3F2B"/>
    <w:rsid w:val="00CB4592"/>
    <w:rsid w:val="00CB4D69"/>
    <w:rsid w:val="00CB5AE9"/>
    <w:rsid w:val="00CB5BE5"/>
    <w:rsid w:val="00CB679D"/>
    <w:rsid w:val="00CB7291"/>
    <w:rsid w:val="00CB7A5F"/>
    <w:rsid w:val="00CB7AB9"/>
    <w:rsid w:val="00CC0215"/>
    <w:rsid w:val="00CC1416"/>
    <w:rsid w:val="00CC15FF"/>
    <w:rsid w:val="00CC1AE0"/>
    <w:rsid w:val="00CC1D85"/>
    <w:rsid w:val="00CC1DAD"/>
    <w:rsid w:val="00CC2447"/>
    <w:rsid w:val="00CC28E2"/>
    <w:rsid w:val="00CC2B7A"/>
    <w:rsid w:val="00CC38A8"/>
    <w:rsid w:val="00CC3AAF"/>
    <w:rsid w:val="00CC417A"/>
    <w:rsid w:val="00CC448B"/>
    <w:rsid w:val="00CC4C5E"/>
    <w:rsid w:val="00CC51EF"/>
    <w:rsid w:val="00CC5385"/>
    <w:rsid w:val="00CC5840"/>
    <w:rsid w:val="00CC59BE"/>
    <w:rsid w:val="00CC5E80"/>
    <w:rsid w:val="00CC5F2B"/>
    <w:rsid w:val="00CC674D"/>
    <w:rsid w:val="00CC6857"/>
    <w:rsid w:val="00CC6A58"/>
    <w:rsid w:val="00CC6AF0"/>
    <w:rsid w:val="00CC6F05"/>
    <w:rsid w:val="00CD0A83"/>
    <w:rsid w:val="00CD24A1"/>
    <w:rsid w:val="00CD24BC"/>
    <w:rsid w:val="00CD28D6"/>
    <w:rsid w:val="00CD2984"/>
    <w:rsid w:val="00CD3447"/>
    <w:rsid w:val="00CD3898"/>
    <w:rsid w:val="00CD4B90"/>
    <w:rsid w:val="00CD4F13"/>
    <w:rsid w:val="00CD54F8"/>
    <w:rsid w:val="00CD5982"/>
    <w:rsid w:val="00CD5CC1"/>
    <w:rsid w:val="00CD5D4F"/>
    <w:rsid w:val="00CD63A8"/>
    <w:rsid w:val="00CD66E8"/>
    <w:rsid w:val="00CD6910"/>
    <w:rsid w:val="00CD70A0"/>
    <w:rsid w:val="00CD72D6"/>
    <w:rsid w:val="00CD7E31"/>
    <w:rsid w:val="00CE1351"/>
    <w:rsid w:val="00CE2721"/>
    <w:rsid w:val="00CE3408"/>
    <w:rsid w:val="00CE3823"/>
    <w:rsid w:val="00CE4E85"/>
    <w:rsid w:val="00CE531A"/>
    <w:rsid w:val="00CE5CFF"/>
    <w:rsid w:val="00CE7B5F"/>
    <w:rsid w:val="00CE7D76"/>
    <w:rsid w:val="00CF029A"/>
    <w:rsid w:val="00CF0363"/>
    <w:rsid w:val="00CF0DDA"/>
    <w:rsid w:val="00CF10B1"/>
    <w:rsid w:val="00CF115A"/>
    <w:rsid w:val="00CF1322"/>
    <w:rsid w:val="00CF19FE"/>
    <w:rsid w:val="00CF1CCD"/>
    <w:rsid w:val="00CF252F"/>
    <w:rsid w:val="00CF259E"/>
    <w:rsid w:val="00CF288E"/>
    <w:rsid w:val="00CF328D"/>
    <w:rsid w:val="00CF373D"/>
    <w:rsid w:val="00CF3C3B"/>
    <w:rsid w:val="00CF3C48"/>
    <w:rsid w:val="00CF3D75"/>
    <w:rsid w:val="00CF4287"/>
    <w:rsid w:val="00CF4421"/>
    <w:rsid w:val="00CF4CEF"/>
    <w:rsid w:val="00CF543F"/>
    <w:rsid w:val="00CF54B5"/>
    <w:rsid w:val="00CF65F0"/>
    <w:rsid w:val="00CF6D66"/>
    <w:rsid w:val="00CF72AE"/>
    <w:rsid w:val="00D00064"/>
    <w:rsid w:val="00D000D2"/>
    <w:rsid w:val="00D00B20"/>
    <w:rsid w:val="00D0165D"/>
    <w:rsid w:val="00D01AF0"/>
    <w:rsid w:val="00D022BF"/>
    <w:rsid w:val="00D0235B"/>
    <w:rsid w:val="00D029EF"/>
    <w:rsid w:val="00D02ECB"/>
    <w:rsid w:val="00D035E9"/>
    <w:rsid w:val="00D03F03"/>
    <w:rsid w:val="00D04318"/>
    <w:rsid w:val="00D043F0"/>
    <w:rsid w:val="00D04F9F"/>
    <w:rsid w:val="00D05712"/>
    <w:rsid w:val="00D06061"/>
    <w:rsid w:val="00D06970"/>
    <w:rsid w:val="00D06BC7"/>
    <w:rsid w:val="00D0721B"/>
    <w:rsid w:val="00D079AF"/>
    <w:rsid w:val="00D07A47"/>
    <w:rsid w:val="00D07AE4"/>
    <w:rsid w:val="00D07B85"/>
    <w:rsid w:val="00D07E32"/>
    <w:rsid w:val="00D10349"/>
    <w:rsid w:val="00D108C1"/>
    <w:rsid w:val="00D11993"/>
    <w:rsid w:val="00D12BF3"/>
    <w:rsid w:val="00D13083"/>
    <w:rsid w:val="00D13169"/>
    <w:rsid w:val="00D13FF1"/>
    <w:rsid w:val="00D14346"/>
    <w:rsid w:val="00D14962"/>
    <w:rsid w:val="00D14B28"/>
    <w:rsid w:val="00D14B60"/>
    <w:rsid w:val="00D1513B"/>
    <w:rsid w:val="00D152D1"/>
    <w:rsid w:val="00D17A6C"/>
    <w:rsid w:val="00D17A87"/>
    <w:rsid w:val="00D17CE0"/>
    <w:rsid w:val="00D17D94"/>
    <w:rsid w:val="00D17DAB"/>
    <w:rsid w:val="00D2065F"/>
    <w:rsid w:val="00D20A74"/>
    <w:rsid w:val="00D20CBC"/>
    <w:rsid w:val="00D219BA"/>
    <w:rsid w:val="00D21D96"/>
    <w:rsid w:val="00D222EF"/>
    <w:rsid w:val="00D22313"/>
    <w:rsid w:val="00D23769"/>
    <w:rsid w:val="00D24303"/>
    <w:rsid w:val="00D24885"/>
    <w:rsid w:val="00D24918"/>
    <w:rsid w:val="00D24D34"/>
    <w:rsid w:val="00D24F40"/>
    <w:rsid w:val="00D2515B"/>
    <w:rsid w:val="00D2586A"/>
    <w:rsid w:val="00D259E6"/>
    <w:rsid w:val="00D25DEF"/>
    <w:rsid w:val="00D26318"/>
    <w:rsid w:val="00D26475"/>
    <w:rsid w:val="00D26938"/>
    <w:rsid w:val="00D2694D"/>
    <w:rsid w:val="00D26CB3"/>
    <w:rsid w:val="00D26FD9"/>
    <w:rsid w:val="00D27624"/>
    <w:rsid w:val="00D2766E"/>
    <w:rsid w:val="00D27AA6"/>
    <w:rsid w:val="00D27AD5"/>
    <w:rsid w:val="00D27E9D"/>
    <w:rsid w:val="00D307C0"/>
    <w:rsid w:val="00D30E9A"/>
    <w:rsid w:val="00D3223A"/>
    <w:rsid w:val="00D332B0"/>
    <w:rsid w:val="00D3374D"/>
    <w:rsid w:val="00D338DB"/>
    <w:rsid w:val="00D34312"/>
    <w:rsid w:val="00D347EB"/>
    <w:rsid w:val="00D34B45"/>
    <w:rsid w:val="00D3509E"/>
    <w:rsid w:val="00D35108"/>
    <w:rsid w:val="00D3557F"/>
    <w:rsid w:val="00D35C81"/>
    <w:rsid w:val="00D360C3"/>
    <w:rsid w:val="00D36561"/>
    <w:rsid w:val="00D36956"/>
    <w:rsid w:val="00D36CC8"/>
    <w:rsid w:val="00D36DCC"/>
    <w:rsid w:val="00D374A5"/>
    <w:rsid w:val="00D375CF"/>
    <w:rsid w:val="00D37DEB"/>
    <w:rsid w:val="00D40483"/>
    <w:rsid w:val="00D40932"/>
    <w:rsid w:val="00D4094D"/>
    <w:rsid w:val="00D40CE9"/>
    <w:rsid w:val="00D410F9"/>
    <w:rsid w:val="00D414B7"/>
    <w:rsid w:val="00D41B22"/>
    <w:rsid w:val="00D41E45"/>
    <w:rsid w:val="00D42376"/>
    <w:rsid w:val="00D42795"/>
    <w:rsid w:val="00D42B98"/>
    <w:rsid w:val="00D4325E"/>
    <w:rsid w:val="00D43AFC"/>
    <w:rsid w:val="00D43E12"/>
    <w:rsid w:val="00D449AE"/>
    <w:rsid w:val="00D455FE"/>
    <w:rsid w:val="00D46C0A"/>
    <w:rsid w:val="00D46C1F"/>
    <w:rsid w:val="00D47267"/>
    <w:rsid w:val="00D47CF2"/>
    <w:rsid w:val="00D47DAE"/>
    <w:rsid w:val="00D50433"/>
    <w:rsid w:val="00D50F51"/>
    <w:rsid w:val="00D51232"/>
    <w:rsid w:val="00D512E2"/>
    <w:rsid w:val="00D515D0"/>
    <w:rsid w:val="00D5175F"/>
    <w:rsid w:val="00D51BCC"/>
    <w:rsid w:val="00D51E24"/>
    <w:rsid w:val="00D52CB0"/>
    <w:rsid w:val="00D5402C"/>
    <w:rsid w:val="00D54977"/>
    <w:rsid w:val="00D55154"/>
    <w:rsid w:val="00D5535E"/>
    <w:rsid w:val="00D55DC1"/>
    <w:rsid w:val="00D56FCB"/>
    <w:rsid w:val="00D5768B"/>
    <w:rsid w:val="00D57908"/>
    <w:rsid w:val="00D60D3B"/>
    <w:rsid w:val="00D6103D"/>
    <w:rsid w:val="00D61A3C"/>
    <w:rsid w:val="00D62097"/>
    <w:rsid w:val="00D621C7"/>
    <w:rsid w:val="00D625B0"/>
    <w:rsid w:val="00D62DDF"/>
    <w:rsid w:val="00D63242"/>
    <w:rsid w:val="00D633B1"/>
    <w:rsid w:val="00D635EC"/>
    <w:rsid w:val="00D6372A"/>
    <w:rsid w:val="00D638CF"/>
    <w:rsid w:val="00D63C59"/>
    <w:rsid w:val="00D643B8"/>
    <w:rsid w:val="00D644B5"/>
    <w:rsid w:val="00D64BE4"/>
    <w:rsid w:val="00D6506B"/>
    <w:rsid w:val="00D65792"/>
    <w:rsid w:val="00D65E1D"/>
    <w:rsid w:val="00D66894"/>
    <w:rsid w:val="00D669FB"/>
    <w:rsid w:val="00D66A3F"/>
    <w:rsid w:val="00D66FCF"/>
    <w:rsid w:val="00D67214"/>
    <w:rsid w:val="00D7005A"/>
    <w:rsid w:val="00D709DC"/>
    <w:rsid w:val="00D70FBA"/>
    <w:rsid w:val="00D712B0"/>
    <w:rsid w:val="00D71455"/>
    <w:rsid w:val="00D71A25"/>
    <w:rsid w:val="00D7257C"/>
    <w:rsid w:val="00D727AA"/>
    <w:rsid w:val="00D72D77"/>
    <w:rsid w:val="00D730A9"/>
    <w:rsid w:val="00D730E6"/>
    <w:rsid w:val="00D73DCC"/>
    <w:rsid w:val="00D73E41"/>
    <w:rsid w:val="00D74706"/>
    <w:rsid w:val="00D74A01"/>
    <w:rsid w:val="00D74EED"/>
    <w:rsid w:val="00D754BB"/>
    <w:rsid w:val="00D75EB6"/>
    <w:rsid w:val="00D7687C"/>
    <w:rsid w:val="00D770E0"/>
    <w:rsid w:val="00D77325"/>
    <w:rsid w:val="00D77435"/>
    <w:rsid w:val="00D77F04"/>
    <w:rsid w:val="00D80329"/>
    <w:rsid w:val="00D80472"/>
    <w:rsid w:val="00D80572"/>
    <w:rsid w:val="00D80783"/>
    <w:rsid w:val="00D80C49"/>
    <w:rsid w:val="00D80FB8"/>
    <w:rsid w:val="00D8122F"/>
    <w:rsid w:val="00D8234E"/>
    <w:rsid w:val="00D84657"/>
    <w:rsid w:val="00D849EF"/>
    <w:rsid w:val="00D84B79"/>
    <w:rsid w:val="00D85108"/>
    <w:rsid w:val="00D85722"/>
    <w:rsid w:val="00D859BC"/>
    <w:rsid w:val="00D85CEC"/>
    <w:rsid w:val="00D85DB2"/>
    <w:rsid w:val="00D85DBA"/>
    <w:rsid w:val="00D863E3"/>
    <w:rsid w:val="00D86C4E"/>
    <w:rsid w:val="00D87D7C"/>
    <w:rsid w:val="00D87FA0"/>
    <w:rsid w:val="00D900B9"/>
    <w:rsid w:val="00D90664"/>
    <w:rsid w:val="00D90BD3"/>
    <w:rsid w:val="00D90D29"/>
    <w:rsid w:val="00D91262"/>
    <w:rsid w:val="00D91497"/>
    <w:rsid w:val="00D927FE"/>
    <w:rsid w:val="00D929F3"/>
    <w:rsid w:val="00D92C70"/>
    <w:rsid w:val="00D932C7"/>
    <w:rsid w:val="00D93A4C"/>
    <w:rsid w:val="00D945A6"/>
    <w:rsid w:val="00D94610"/>
    <w:rsid w:val="00D94EB7"/>
    <w:rsid w:val="00D951F2"/>
    <w:rsid w:val="00D95712"/>
    <w:rsid w:val="00D9603A"/>
    <w:rsid w:val="00D961BD"/>
    <w:rsid w:val="00D96B57"/>
    <w:rsid w:val="00D96B7E"/>
    <w:rsid w:val="00D96CF6"/>
    <w:rsid w:val="00D973E9"/>
    <w:rsid w:val="00D974F2"/>
    <w:rsid w:val="00DA0053"/>
    <w:rsid w:val="00DA0189"/>
    <w:rsid w:val="00DA02A2"/>
    <w:rsid w:val="00DA031D"/>
    <w:rsid w:val="00DA0A4C"/>
    <w:rsid w:val="00DA1AD7"/>
    <w:rsid w:val="00DA1E2D"/>
    <w:rsid w:val="00DA2618"/>
    <w:rsid w:val="00DA26CD"/>
    <w:rsid w:val="00DA2BD6"/>
    <w:rsid w:val="00DA2D20"/>
    <w:rsid w:val="00DA30DC"/>
    <w:rsid w:val="00DA31CB"/>
    <w:rsid w:val="00DA31DB"/>
    <w:rsid w:val="00DA34F7"/>
    <w:rsid w:val="00DA3704"/>
    <w:rsid w:val="00DA3AF6"/>
    <w:rsid w:val="00DA40D2"/>
    <w:rsid w:val="00DA4426"/>
    <w:rsid w:val="00DA475A"/>
    <w:rsid w:val="00DA4E90"/>
    <w:rsid w:val="00DA5429"/>
    <w:rsid w:val="00DA5801"/>
    <w:rsid w:val="00DA7E13"/>
    <w:rsid w:val="00DA7E1F"/>
    <w:rsid w:val="00DB0D85"/>
    <w:rsid w:val="00DB233C"/>
    <w:rsid w:val="00DB2406"/>
    <w:rsid w:val="00DB30C3"/>
    <w:rsid w:val="00DB328E"/>
    <w:rsid w:val="00DB36FE"/>
    <w:rsid w:val="00DB3E5C"/>
    <w:rsid w:val="00DB3E76"/>
    <w:rsid w:val="00DB40FE"/>
    <w:rsid w:val="00DB4162"/>
    <w:rsid w:val="00DB579B"/>
    <w:rsid w:val="00DB58C3"/>
    <w:rsid w:val="00DB6744"/>
    <w:rsid w:val="00DB6BFC"/>
    <w:rsid w:val="00DB6DD7"/>
    <w:rsid w:val="00DB6E8C"/>
    <w:rsid w:val="00DB70CF"/>
    <w:rsid w:val="00DB7FB3"/>
    <w:rsid w:val="00DC04DE"/>
    <w:rsid w:val="00DC0E03"/>
    <w:rsid w:val="00DC1550"/>
    <w:rsid w:val="00DC1FA6"/>
    <w:rsid w:val="00DC27A8"/>
    <w:rsid w:val="00DC300C"/>
    <w:rsid w:val="00DC3105"/>
    <w:rsid w:val="00DC359E"/>
    <w:rsid w:val="00DC394E"/>
    <w:rsid w:val="00DC3BDA"/>
    <w:rsid w:val="00DC3C34"/>
    <w:rsid w:val="00DC447D"/>
    <w:rsid w:val="00DC4775"/>
    <w:rsid w:val="00DC4C3A"/>
    <w:rsid w:val="00DC60CE"/>
    <w:rsid w:val="00DC64B8"/>
    <w:rsid w:val="00DC6776"/>
    <w:rsid w:val="00DC6808"/>
    <w:rsid w:val="00DD0F06"/>
    <w:rsid w:val="00DD1666"/>
    <w:rsid w:val="00DD1A6E"/>
    <w:rsid w:val="00DD2DEE"/>
    <w:rsid w:val="00DD31B1"/>
    <w:rsid w:val="00DD3549"/>
    <w:rsid w:val="00DD3925"/>
    <w:rsid w:val="00DD3A52"/>
    <w:rsid w:val="00DD432F"/>
    <w:rsid w:val="00DD44AE"/>
    <w:rsid w:val="00DD4593"/>
    <w:rsid w:val="00DD459E"/>
    <w:rsid w:val="00DD4790"/>
    <w:rsid w:val="00DD5A2B"/>
    <w:rsid w:val="00DD5EAF"/>
    <w:rsid w:val="00DD6939"/>
    <w:rsid w:val="00DD6CFE"/>
    <w:rsid w:val="00DD6E2D"/>
    <w:rsid w:val="00DD7D6E"/>
    <w:rsid w:val="00DD7F50"/>
    <w:rsid w:val="00DD7F5B"/>
    <w:rsid w:val="00DE0403"/>
    <w:rsid w:val="00DE1AA2"/>
    <w:rsid w:val="00DE1B6A"/>
    <w:rsid w:val="00DE1C21"/>
    <w:rsid w:val="00DE2559"/>
    <w:rsid w:val="00DE283D"/>
    <w:rsid w:val="00DE2B41"/>
    <w:rsid w:val="00DE2BFD"/>
    <w:rsid w:val="00DE2C9C"/>
    <w:rsid w:val="00DE3557"/>
    <w:rsid w:val="00DE387E"/>
    <w:rsid w:val="00DE3A75"/>
    <w:rsid w:val="00DE3B88"/>
    <w:rsid w:val="00DE4197"/>
    <w:rsid w:val="00DE476A"/>
    <w:rsid w:val="00DE4CAE"/>
    <w:rsid w:val="00DE5A50"/>
    <w:rsid w:val="00DE5D39"/>
    <w:rsid w:val="00DE623A"/>
    <w:rsid w:val="00DE6403"/>
    <w:rsid w:val="00DE6599"/>
    <w:rsid w:val="00DE659E"/>
    <w:rsid w:val="00DE6A80"/>
    <w:rsid w:val="00DE7698"/>
    <w:rsid w:val="00DF0779"/>
    <w:rsid w:val="00DF0EAF"/>
    <w:rsid w:val="00DF14E2"/>
    <w:rsid w:val="00DF151D"/>
    <w:rsid w:val="00DF158A"/>
    <w:rsid w:val="00DF1CD9"/>
    <w:rsid w:val="00DF2883"/>
    <w:rsid w:val="00DF2AEE"/>
    <w:rsid w:val="00DF2AF5"/>
    <w:rsid w:val="00DF2B12"/>
    <w:rsid w:val="00DF3B84"/>
    <w:rsid w:val="00DF3CD5"/>
    <w:rsid w:val="00DF4089"/>
    <w:rsid w:val="00DF42F5"/>
    <w:rsid w:val="00DF4407"/>
    <w:rsid w:val="00DF440B"/>
    <w:rsid w:val="00DF4464"/>
    <w:rsid w:val="00DF46EE"/>
    <w:rsid w:val="00DF5105"/>
    <w:rsid w:val="00DF518E"/>
    <w:rsid w:val="00DF5B9F"/>
    <w:rsid w:val="00DF5EFF"/>
    <w:rsid w:val="00DF6197"/>
    <w:rsid w:val="00DF651B"/>
    <w:rsid w:val="00DF671F"/>
    <w:rsid w:val="00DF79BD"/>
    <w:rsid w:val="00DF7EAB"/>
    <w:rsid w:val="00DF7EAF"/>
    <w:rsid w:val="00E00466"/>
    <w:rsid w:val="00E019B3"/>
    <w:rsid w:val="00E01A41"/>
    <w:rsid w:val="00E01CDE"/>
    <w:rsid w:val="00E02A02"/>
    <w:rsid w:val="00E03945"/>
    <w:rsid w:val="00E043FB"/>
    <w:rsid w:val="00E04647"/>
    <w:rsid w:val="00E052BE"/>
    <w:rsid w:val="00E06196"/>
    <w:rsid w:val="00E06931"/>
    <w:rsid w:val="00E06EB0"/>
    <w:rsid w:val="00E0705A"/>
    <w:rsid w:val="00E10680"/>
    <w:rsid w:val="00E10807"/>
    <w:rsid w:val="00E10B05"/>
    <w:rsid w:val="00E10C76"/>
    <w:rsid w:val="00E10DC1"/>
    <w:rsid w:val="00E10E01"/>
    <w:rsid w:val="00E10E1E"/>
    <w:rsid w:val="00E118A0"/>
    <w:rsid w:val="00E119EB"/>
    <w:rsid w:val="00E11CC1"/>
    <w:rsid w:val="00E11EF5"/>
    <w:rsid w:val="00E126E9"/>
    <w:rsid w:val="00E12B69"/>
    <w:rsid w:val="00E12D62"/>
    <w:rsid w:val="00E12D65"/>
    <w:rsid w:val="00E130CE"/>
    <w:rsid w:val="00E136DC"/>
    <w:rsid w:val="00E13750"/>
    <w:rsid w:val="00E14097"/>
    <w:rsid w:val="00E14BD0"/>
    <w:rsid w:val="00E1522A"/>
    <w:rsid w:val="00E15E0A"/>
    <w:rsid w:val="00E16124"/>
    <w:rsid w:val="00E17C80"/>
    <w:rsid w:val="00E206F7"/>
    <w:rsid w:val="00E20749"/>
    <w:rsid w:val="00E20F6F"/>
    <w:rsid w:val="00E211D5"/>
    <w:rsid w:val="00E21B42"/>
    <w:rsid w:val="00E21CDB"/>
    <w:rsid w:val="00E21FF2"/>
    <w:rsid w:val="00E2226A"/>
    <w:rsid w:val="00E22A59"/>
    <w:rsid w:val="00E23594"/>
    <w:rsid w:val="00E235C7"/>
    <w:rsid w:val="00E237FA"/>
    <w:rsid w:val="00E24920"/>
    <w:rsid w:val="00E2529E"/>
    <w:rsid w:val="00E254A5"/>
    <w:rsid w:val="00E25B4B"/>
    <w:rsid w:val="00E25CE2"/>
    <w:rsid w:val="00E25D84"/>
    <w:rsid w:val="00E26603"/>
    <w:rsid w:val="00E2678A"/>
    <w:rsid w:val="00E26966"/>
    <w:rsid w:val="00E26FE8"/>
    <w:rsid w:val="00E27234"/>
    <w:rsid w:val="00E277A9"/>
    <w:rsid w:val="00E27910"/>
    <w:rsid w:val="00E3002D"/>
    <w:rsid w:val="00E30F7F"/>
    <w:rsid w:val="00E31218"/>
    <w:rsid w:val="00E31544"/>
    <w:rsid w:val="00E31A67"/>
    <w:rsid w:val="00E31AEA"/>
    <w:rsid w:val="00E3224E"/>
    <w:rsid w:val="00E322CB"/>
    <w:rsid w:val="00E329CC"/>
    <w:rsid w:val="00E32C55"/>
    <w:rsid w:val="00E33A06"/>
    <w:rsid w:val="00E34300"/>
    <w:rsid w:val="00E34BED"/>
    <w:rsid w:val="00E34C06"/>
    <w:rsid w:val="00E3581C"/>
    <w:rsid w:val="00E35A8F"/>
    <w:rsid w:val="00E360EA"/>
    <w:rsid w:val="00E36992"/>
    <w:rsid w:val="00E36F06"/>
    <w:rsid w:val="00E36FFC"/>
    <w:rsid w:val="00E37329"/>
    <w:rsid w:val="00E37684"/>
    <w:rsid w:val="00E3778B"/>
    <w:rsid w:val="00E37A25"/>
    <w:rsid w:val="00E418DC"/>
    <w:rsid w:val="00E42BE7"/>
    <w:rsid w:val="00E42D47"/>
    <w:rsid w:val="00E42DA0"/>
    <w:rsid w:val="00E43230"/>
    <w:rsid w:val="00E4341F"/>
    <w:rsid w:val="00E43BF3"/>
    <w:rsid w:val="00E44DFF"/>
    <w:rsid w:val="00E45152"/>
    <w:rsid w:val="00E45AF8"/>
    <w:rsid w:val="00E45F8F"/>
    <w:rsid w:val="00E464BB"/>
    <w:rsid w:val="00E4667A"/>
    <w:rsid w:val="00E471AE"/>
    <w:rsid w:val="00E47326"/>
    <w:rsid w:val="00E476D2"/>
    <w:rsid w:val="00E47AC6"/>
    <w:rsid w:val="00E47C8B"/>
    <w:rsid w:val="00E50DA2"/>
    <w:rsid w:val="00E51818"/>
    <w:rsid w:val="00E52364"/>
    <w:rsid w:val="00E5249F"/>
    <w:rsid w:val="00E52771"/>
    <w:rsid w:val="00E52FFE"/>
    <w:rsid w:val="00E53AD5"/>
    <w:rsid w:val="00E542E6"/>
    <w:rsid w:val="00E54A96"/>
    <w:rsid w:val="00E56389"/>
    <w:rsid w:val="00E56776"/>
    <w:rsid w:val="00E56827"/>
    <w:rsid w:val="00E600EA"/>
    <w:rsid w:val="00E6099C"/>
    <w:rsid w:val="00E61148"/>
    <w:rsid w:val="00E61546"/>
    <w:rsid w:val="00E61685"/>
    <w:rsid w:val="00E620BF"/>
    <w:rsid w:val="00E631F8"/>
    <w:rsid w:val="00E632F4"/>
    <w:rsid w:val="00E643B4"/>
    <w:rsid w:val="00E65291"/>
    <w:rsid w:val="00E6530E"/>
    <w:rsid w:val="00E65769"/>
    <w:rsid w:val="00E65C1A"/>
    <w:rsid w:val="00E65DCD"/>
    <w:rsid w:val="00E66038"/>
    <w:rsid w:val="00E6662A"/>
    <w:rsid w:val="00E66CC4"/>
    <w:rsid w:val="00E70630"/>
    <w:rsid w:val="00E70DEA"/>
    <w:rsid w:val="00E717B6"/>
    <w:rsid w:val="00E71DD3"/>
    <w:rsid w:val="00E7353A"/>
    <w:rsid w:val="00E73589"/>
    <w:rsid w:val="00E73C4E"/>
    <w:rsid w:val="00E743FF"/>
    <w:rsid w:val="00E760E6"/>
    <w:rsid w:val="00E76AEF"/>
    <w:rsid w:val="00E76F1E"/>
    <w:rsid w:val="00E7704D"/>
    <w:rsid w:val="00E7746D"/>
    <w:rsid w:val="00E775E4"/>
    <w:rsid w:val="00E77C15"/>
    <w:rsid w:val="00E77E5B"/>
    <w:rsid w:val="00E80D65"/>
    <w:rsid w:val="00E83578"/>
    <w:rsid w:val="00E84760"/>
    <w:rsid w:val="00E84A61"/>
    <w:rsid w:val="00E85197"/>
    <w:rsid w:val="00E85A4C"/>
    <w:rsid w:val="00E85AFE"/>
    <w:rsid w:val="00E85E27"/>
    <w:rsid w:val="00E8601A"/>
    <w:rsid w:val="00E861D8"/>
    <w:rsid w:val="00E86348"/>
    <w:rsid w:val="00E86EA0"/>
    <w:rsid w:val="00E877E0"/>
    <w:rsid w:val="00E878FC"/>
    <w:rsid w:val="00E87CD6"/>
    <w:rsid w:val="00E90736"/>
    <w:rsid w:val="00E90FCD"/>
    <w:rsid w:val="00E919AE"/>
    <w:rsid w:val="00E92070"/>
    <w:rsid w:val="00E92384"/>
    <w:rsid w:val="00E92681"/>
    <w:rsid w:val="00E92AFF"/>
    <w:rsid w:val="00E92F0A"/>
    <w:rsid w:val="00E93748"/>
    <w:rsid w:val="00E93CEE"/>
    <w:rsid w:val="00E93EB0"/>
    <w:rsid w:val="00E94641"/>
    <w:rsid w:val="00E94675"/>
    <w:rsid w:val="00E955EE"/>
    <w:rsid w:val="00E959EF"/>
    <w:rsid w:val="00E9644D"/>
    <w:rsid w:val="00E9689C"/>
    <w:rsid w:val="00E968CC"/>
    <w:rsid w:val="00E96C28"/>
    <w:rsid w:val="00E96E12"/>
    <w:rsid w:val="00E96F4D"/>
    <w:rsid w:val="00E97238"/>
    <w:rsid w:val="00E97B28"/>
    <w:rsid w:val="00E97BC1"/>
    <w:rsid w:val="00E97C6E"/>
    <w:rsid w:val="00E97C87"/>
    <w:rsid w:val="00E97E08"/>
    <w:rsid w:val="00EA0276"/>
    <w:rsid w:val="00EA0884"/>
    <w:rsid w:val="00EA0D98"/>
    <w:rsid w:val="00EA0DB3"/>
    <w:rsid w:val="00EA0F4E"/>
    <w:rsid w:val="00EA1E3A"/>
    <w:rsid w:val="00EA1ECB"/>
    <w:rsid w:val="00EA2316"/>
    <w:rsid w:val="00EA24C2"/>
    <w:rsid w:val="00EA25E4"/>
    <w:rsid w:val="00EA2657"/>
    <w:rsid w:val="00EA2658"/>
    <w:rsid w:val="00EA2E22"/>
    <w:rsid w:val="00EA2FAD"/>
    <w:rsid w:val="00EA3C55"/>
    <w:rsid w:val="00EA42CE"/>
    <w:rsid w:val="00EA43C6"/>
    <w:rsid w:val="00EA4BF8"/>
    <w:rsid w:val="00EA5E9E"/>
    <w:rsid w:val="00EA6142"/>
    <w:rsid w:val="00EA6436"/>
    <w:rsid w:val="00EA6C4D"/>
    <w:rsid w:val="00EA7338"/>
    <w:rsid w:val="00EA78E6"/>
    <w:rsid w:val="00EA7BE3"/>
    <w:rsid w:val="00EB01F1"/>
    <w:rsid w:val="00EB0BD0"/>
    <w:rsid w:val="00EB141E"/>
    <w:rsid w:val="00EB14D0"/>
    <w:rsid w:val="00EB1D49"/>
    <w:rsid w:val="00EB1EA9"/>
    <w:rsid w:val="00EB2589"/>
    <w:rsid w:val="00EB25F9"/>
    <w:rsid w:val="00EB36C7"/>
    <w:rsid w:val="00EB36D1"/>
    <w:rsid w:val="00EB381A"/>
    <w:rsid w:val="00EB390D"/>
    <w:rsid w:val="00EB3D79"/>
    <w:rsid w:val="00EB4239"/>
    <w:rsid w:val="00EB4756"/>
    <w:rsid w:val="00EB508F"/>
    <w:rsid w:val="00EB5405"/>
    <w:rsid w:val="00EB6199"/>
    <w:rsid w:val="00EB69BA"/>
    <w:rsid w:val="00EB6FA9"/>
    <w:rsid w:val="00EB76C3"/>
    <w:rsid w:val="00EB79C1"/>
    <w:rsid w:val="00EB7ADA"/>
    <w:rsid w:val="00EB7C94"/>
    <w:rsid w:val="00EB7E3A"/>
    <w:rsid w:val="00EC05FB"/>
    <w:rsid w:val="00EC09AA"/>
    <w:rsid w:val="00EC0DBC"/>
    <w:rsid w:val="00EC1006"/>
    <w:rsid w:val="00EC1250"/>
    <w:rsid w:val="00EC12CB"/>
    <w:rsid w:val="00EC1888"/>
    <w:rsid w:val="00EC261D"/>
    <w:rsid w:val="00EC2B21"/>
    <w:rsid w:val="00EC2EC7"/>
    <w:rsid w:val="00EC3097"/>
    <w:rsid w:val="00EC346A"/>
    <w:rsid w:val="00EC3DE1"/>
    <w:rsid w:val="00EC41A0"/>
    <w:rsid w:val="00EC4C7C"/>
    <w:rsid w:val="00EC5154"/>
    <w:rsid w:val="00EC5FB9"/>
    <w:rsid w:val="00EC74EC"/>
    <w:rsid w:val="00ED058A"/>
    <w:rsid w:val="00ED073F"/>
    <w:rsid w:val="00ED1C24"/>
    <w:rsid w:val="00ED227A"/>
    <w:rsid w:val="00ED241C"/>
    <w:rsid w:val="00ED244F"/>
    <w:rsid w:val="00ED2AB3"/>
    <w:rsid w:val="00ED2FAD"/>
    <w:rsid w:val="00ED387E"/>
    <w:rsid w:val="00ED3C91"/>
    <w:rsid w:val="00ED3D22"/>
    <w:rsid w:val="00ED4275"/>
    <w:rsid w:val="00ED4BB8"/>
    <w:rsid w:val="00ED5328"/>
    <w:rsid w:val="00ED58DD"/>
    <w:rsid w:val="00ED5949"/>
    <w:rsid w:val="00ED5E5B"/>
    <w:rsid w:val="00ED690C"/>
    <w:rsid w:val="00ED703B"/>
    <w:rsid w:val="00ED706F"/>
    <w:rsid w:val="00ED7BF2"/>
    <w:rsid w:val="00EE07E9"/>
    <w:rsid w:val="00EE138A"/>
    <w:rsid w:val="00EE2000"/>
    <w:rsid w:val="00EE211C"/>
    <w:rsid w:val="00EE2522"/>
    <w:rsid w:val="00EE32BF"/>
    <w:rsid w:val="00EE34E5"/>
    <w:rsid w:val="00EE3758"/>
    <w:rsid w:val="00EE43AD"/>
    <w:rsid w:val="00EE43E6"/>
    <w:rsid w:val="00EE46BB"/>
    <w:rsid w:val="00EE489E"/>
    <w:rsid w:val="00EE5059"/>
    <w:rsid w:val="00EE5669"/>
    <w:rsid w:val="00EE57BF"/>
    <w:rsid w:val="00EE61ED"/>
    <w:rsid w:val="00EE67FD"/>
    <w:rsid w:val="00EE690E"/>
    <w:rsid w:val="00EE7601"/>
    <w:rsid w:val="00EF035C"/>
    <w:rsid w:val="00EF08F4"/>
    <w:rsid w:val="00EF1D5D"/>
    <w:rsid w:val="00EF1F15"/>
    <w:rsid w:val="00EF24A5"/>
    <w:rsid w:val="00EF2504"/>
    <w:rsid w:val="00EF2A0C"/>
    <w:rsid w:val="00EF3BE3"/>
    <w:rsid w:val="00EF3C95"/>
    <w:rsid w:val="00EF3D20"/>
    <w:rsid w:val="00EF4043"/>
    <w:rsid w:val="00EF406A"/>
    <w:rsid w:val="00EF577D"/>
    <w:rsid w:val="00EF5BB7"/>
    <w:rsid w:val="00EF6015"/>
    <w:rsid w:val="00EF6E31"/>
    <w:rsid w:val="00EF6F83"/>
    <w:rsid w:val="00EF7ABB"/>
    <w:rsid w:val="00F0012D"/>
    <w:rsid w:val="00F001E0"/>
    <w:rsid w:val="00F0057E"/>
    <w:rsid w:val="00F0064F"/>
    <w:rsid w:val="00F00BC8"/>
    <w:rsid w:val="00F00F07"/>
    <w:rsid w:val="00F01954"/>
    <w:rsid w:val="00F0253D"/>
    <w:rsid w:val="00F02BBD"/>
    <w:rsid w:val="00F02EC0"/>
    <w:rsid w:val="00F0332A"/>
    <w:rsid w:val="00F0359D"/>
    <w:rsid w:val="00F0482D"/>
    <w:rsid w:val="00F04960"/>
    <w:rsid w:val="00F054E7"/>
    <w:rsid w:val="00F0575F"/>
    <w:rsid w:val="00F057B6"/>
    <w:rsid w:val="00F06689"/>
    <w:rsid w:val="00F07226"/>
    <w:rsid w:val="00F075F2"/>
    <w:rsid w:val="00F077AA"/>
    <w:rsid w:val="00F07CD6"/>
    <w:rsid w:val="00F07E05"/>
    <w:rsid w:val="00F1019A"/>
    <w:rsid w:val="00F10D72"/>
    <w:rsid w:val="00F11AD8"/>
    <w:rsid w:val="00F124D5"/>
    <w:rsid w:val="00F12CC9"/>
    <w:rsid w:val="00F1317E"/>
    <w:rsid w:val="00F13284"/>
    <w:rsid w:val="00F13596"/>
    <w:rsid w:val="00F140C7"/>
    <w:rsid w:val="00F15224"/>
    <w:rsid w:val="00F154C9"/>
    <w:rsid w:val="00F15D21"/>
    <w:rsid w:val="00F15DA2"/>
    <w:rsid w:val="00F160C2"/>
    <w:rsid w:val="00F168E5"/>
    <w:rsid w:val="00F16907"/>
    <w:rsid w:val="00F1739A"/>
    <w:rsid w:val="00F1746E"/>
    <w:rsid w:val="00F20083"/>
    <w:rsid w:val="00F21518"/>
    <w:rsid w:val="00F21519"/>
    <w:rsid w:val="00F21828"/>
    <w:rsid w:val="00F21D55"/>
    <w:rsid w:val="00F21F88"/>
    <w:rsid w:val="00F239D3"/>
    <w:rsid w:val="00F23AF8"/>
    <w:rsid w:val="00F23F38"/>
    <w:rsid w:val="00F24888"/>
    <w:rsid w:val="00F24FFB"/>
    <w:rsid w:val="00F25D76"/>
    <w:rsid w:val="00F2628D"/>
    <w:rsid w:val="00F2662D"/>
    <w:rsid w:val="00F26ABC"/>
    <w:rsid w:val="00F26B5C"/>
    <w:rsid w:val="00F2759A"/>
    <w:rsid w:val="00F27F12"/>
    <w:rsid w:val="00F31D7E"/>
    <w:rsid w:val="00F32726"/>
    <w:rsid w:val="00F32809"/>
    <w:rsid w:val="00F32FDC"/>
    <w:rsid w:val="00F3367F"/>
    <w:rsid w:val="00F33CF5"/>
    <w:rsid w:val="00F34105"/>
    <w:rsid w:val="00F3464F"/>
    <w:rsid w:val="00F3488C"/>
    <w:rsid w:val="00F34A5E"/>
    <w:rsid w:val="00F34D20"/>
    <w:rsid w:val="00F34EE4"/>
    <w:rsid w:val="00F35821"/>
    <w:rsid w:val="00F35A39"/>
    <w:rsid w:val="00F36B84"/>
    <w:rsid w:val="00F36DFF"/>
    <w:rsid w:val="00F36E38"/>
    <w:rsid w:val="00F36F3B"/>
    <w:rsid w:val="00F37187"/>
    <w:rsid w:val="00F3755B"/>
    <w:rsid w:val="00F377C1"/>
    <w:rsid w:val="00F40774"/>
    <w:rsid w:val="00F40ADC"/>
    <w:rsid w:val="00F414A9"/>
    <w:rsid w:val="00F41881"/>
    <w:rsid w:val="00F41E72"/>
    <w:rsid w:val="00F42566"/>
    <w:rsid w:val="00F4330D"/>
    <w:rsid w:val="00F43672"/>
    <w:rsid w:val="00F43BF8"/>
    <w:rsid w:val="00F43C45"/>
    <w:rsid w:val="00F43EE1"/>
    <w:rsid w:val="00F44390"/>
    <w:rsid w:val="00F4439D"/>
    <w:rsid w:val="00F44AEF"/>
    <w:rsid w:val="00F44B98"/>
    <w:rsid w:val="00F44BFF"/>
    <w:rsid w:val="00F44CCC"/>
    <w:rsid w:val="00F45235"/>
    <w:rsid w:val="00F454B8"/>
    <w:rsid w:val="00F457EC"/>
    <w:rsid w:val="00F45E23"/>
    <w:rsid w:val="00F460B6"/>
    <w:rsid w:val="00F461CB"/>
    <w:rsid w:val="00F467F3"/>
    <w:rsid w:val="00F46AB6"/>
    <w:rsid w:val="00F46D4E"/>
    <w:rsid w:val="00F46DBE"/>
    <w:rsid w:val="00F476CE"/>
    <w:rsid w:val="00F47CED"/>
    <w:rsid w:val="00F47E88"/>
    <w:rsid w:val="00F50651"/>
    <w:rsid w:val="00F513D9"/>
    <w:rsid w:val="00F516B6"/>
    <w:rsid w:val="00F51E83"/>
    <w:rsid w:val="00F53251"/>
    <w:rsid w:val="00F53D8E"/>
    <w:rsid w:val="00F553E5"/>
    <w:rsid w:val="00F554DB"/>
    <w:rsid w:val="00F56203"/>
    <w:rsid w:val="00F56248"/>
    <w:rsid w:val="00F56367"/>
    <w:rsid w:val="00F56AF7"/>
    <w:rsid w:val="00F57055"/>
    <w:rsid w:val="00F57250"/>
    <w:rsid w:val="00F60C84"/>
    <w:rsid w:val="00F61278"/>
    <w:rsid w:val="00F615D1"/>
    <w:rsid w:val="00F62417"/>
    <w:rsid w:val="00F630ED"/>
    <w:rsid w:val="00F6359C"/>
    <w:rsid w:val="00F6364E"/>
    <w:rsid w:val="00F639CD"/>
    <w:rsid w:val="00F63E98"/>
    <w:rsid w:val="00F63F3B"/>
    <w:rsid w:val="00F64BCB"/>
    <w:rsid w:val="00F653E1"/>
    <w:rsid w:val="00F66238"/>
    <w:rsid w:val="00F66753"/>
    <w:rsid w:val="00F67110"/>
    <w:rsid w:val="00F6744D"/>
    <w:rsid w:val="00F67DDA"/>
    <w:rsid w:val="00F67FFA"/>
    <w:rsid w:val="00F7033B"/>
    <w:rsid w:val="00F70507"/>
    <w:rsid w:val="00F70819"/>
    <w:rsid w:val="00F7248F"/>
    <w:rsid w:val="00F72CF3"/>
    <w:rsid w:val="00F7325C"/>
    <w:rsid w:val="00F740A6"/>
    <w:rsid w:val="00F749C6"/>
    <w:rsid w:val="00F74C1A"/>
    <w:rsid w:val="00F7576B"/>
    <w:rsid w:val="00F7639C"/>
    <w:rsid w:val="00F76914"/>
    <w:rsid w:val="00F77381"/>
    <w:rsid w:val="00F77417"/>
    <w:rsid w:val="00F774A2"/>
    <w:rsid w:val="00F77E46"/>
    <w:rsid w:val="00F804A3"/>
    <w:rsid w:val="00F806E4"/>
    <w:rsid w:val="00F80A10"/>
    <w:rsid w:val="00F8156A"/>
    <w:rsid w:val="00F81AAC"/>
    <w:rsid w:val="00F81B57"/>
    <w:rsid w:val="00F81BBE"/>
    <w:rsid w:val="00F824D4"/>
    <w:rsid w:val="00F8260B"/>
    <w:rsid w:val="00F82E91"/>
    <w:rsid w:val="00F82FC6"/>
    <w:rsid w:val="00F833BD"/>
    <w:rsid w:val="00F84BB1"/>
    <w:rsid w:val="00F84FD3"/>
    <w:rsid w:val="00F85150"/>
    <w:rsid w:val="00F86CAA"/>
    <w:rsid w:val="00F86E6F"/>
    <w:rsid w:val="00F87AEF"/>
    <w:rsid w:val="00F87CBE"/>
    <w:rsid w:val="00F90235"/>
    <w:rsid w:val="00F9072D"/>
    <w:rsid w:val="00F90B5D"/>
    <w:rsid w:val="00F90BAC"/>
    <w:rsid w:val="00F916F5"/>
    <w:rsid w:val="00F91C59"/>
    <w:rsid w:val="00F9267E"/>
    <w:rsid w:val="00F9281D"/>
    <w:rsid w:val="00F936B9"/>
    <w:rsid w:val="00F939B8"/>
    <w:rsid w:val="00F94361"/>
    <w:rsid w:val="00F943B2"/>
    <w:rsid w:val="00F94588"/>
    <w:rsid w:val="00F94D73"/>
    <w:rsid w:val="00F95518"/>
    <w:rsid w:val="00F95DF6"/>
    <w:rsid w:val="00F96006"/>
    <w:rsid w:val="00F9646B"/>
    <w:rsid w:val="00F96CA7"/>
    <w:rsid w:val="00F96EB9"/>
    <w:rsid w:val="00F9776D"/>
    <w:rsid w:val="00F97AD3"/>
    <w:rsid w:val="00F97D0E"/>
    <w:rsid w:val="00F97D5E"/>
    <w:rsid w:val="00FA0975"/>
    <w:rsid w:val="00FA12C9"/>
    <w:rsid w:val="00FA131F"/>
    <w:rsid w:val="00FA1ED8"/>
    <w:rsid w:val="00FA2326"/>
    <w:rsid w:val="00FA24BA"/>
    <w:rsid w:val="00FA2C97"/>
    <w:rsid w:val="00FA2FE1"/>
    <w:rsid w:val="00FA3450"/>
    <w:rsid w:val="00FA39DE"/>
    <w:rsid w:val="00FA3BA0"/>
    <w:rsid w:val="00FA3D65"/>
    <w:rsid w:val="00FA4B4B"/>
    <w:rsid w:val="00FA503C"/>
    <w:rsid w:val="00FA55C7"/>
    <w:rsid w:val="00FA5B5F"/>
    <w:rsid w:val="00FA6421"/>
    <w:rsid w:val="00FA6CCA"/>
    <w:rsid w:val="00FA70C1"/>
    <w:rsid w:val="00FA74A1"/>
    <w:rsid w:val="00FA7607"/>
    <w:rsid w:val="00FA773D"/>
    <w:rsid w:val="00FA77B0"/>
    <w:rsid w:val="00FB009C"/>
    <w:rsid w:val="00FB051A"/>
    <w:rsid w:val="00FB073B"/>
    <w:rsid w:val="00FB0995"/>
    <w:rsid w:val="00FB131D"/>
    <w:rsid w:val="00FB1461"/>
    <w:rsid w:val="00FB2196"/>
    <w:rsid w:val="00FB2522"/>
    <w:rsid w:val="00FB2BC9"/>
    <w:rsid w:val="00FB2F69"/>
    <w:rsid w:val="00FB3C7A"/>
    <w:rsid w:val="00FB4557"/>
    <w:rsid w:val="00FB4580"/>
    <w:rsid w:val="00FB48C4"/>
    <w:rsid w:val="00FB4F81"/>
    <w:rsid w:val="00FB5D35"/>
    <w:rsid w:val="00FB5F8F"/>
    <w:rsid w:val="00FB6591"/>
    <w:rsid w:val="00FB69C7"/>
    <w:rsid w:val="00FB6A16"/>
    <w:rsid w:val="00FB6C62"/>
    <w:rsid w:val="00FB7025"/>
    <w:rsid w:val="00FB748D"/>
    <w:rsid w:val="00FB74CC"/>
    <w:rsid w:val="00FB781C"/>
    <w:rsid w:val="00FB7CC6"/>
    <w:rsid w:val="00FB7F43"/>
    <w:rsid w:val="00FC045B"/>
    <w:rsid w:val="00FC06A5"/>
    <w:rsid w:val="00FC0D9E"/>
    <w:rsid w:val="00FC1299"/>
    <w:rsid w:val="00FC1999"/>
    <w:rsid w:val="00FC1AAF"/>
    <w:rsid w:val="00FC1C95"/>
    <w:rsid w:val="00FC1DA9"/>
    <w:rsid w:val="00FC1F9E"/>
    <w:rsid w:val="00FC2022"/>
    <w:rsid w:val="00FC2417"/>
    <w:rsid w:val="00FC265E"/>
    <w:rsid w:val="00FC2DE5"/>
    <w:rsid w:val="00FC2FAA"/>
    <w:rsid w:val="00FC3045"/>
    <w:rsid w:val="00FC36F1"/>
    <w:rsid w:val="00FC3AF4"/>
    <w:rsid w:val="00FC4AC6"/>
    <w:rsid w:val="00FC510B"/>
    <w:rsid w:val="00FC539D"/>
    <w:rsid w:val="00FC54E8"/>
    <w:rsid w:val="00FC5532"/>
    <w:rsid w:val="00FC5785"/>
    <w:rsid w:val="00FC5825"/>
    <w:rsid w:val="00FC59C7"/>
    <w:rsid w:val="00FC5BAA"/>
    <w:rsid w:val="00FC6B85"/>
    <w:rsid w:val="00FC6C2F"/>
    <w:rsid w:val="00FC7071"/>
    <w:rsid w:val="00FC72DC"/>
    <w:rsid w:val="00FC755B"/>
    <w:rsid w:val="00FC7BD5"/>
    <w:rsid w:val="00FC7CA8"/>
    <w:rsid w:val="00FC7CD9"/>
    <w:rsid w:val="00FC7DA2"/>
    <w:rsid w:val="00FD0681"/>
    <w:rsid w:val="00FD12F1"/>
    <w:rsid w:val="00FD145A"/>
    <w:rsid w:val="00FD19BF"/>
    <w:rsid w:val="00FD1FA3"/>
    <w:rsid w:val="00FD2537"/>
    <w:rsid w:val="00FD2D82"/>
    <w:rsid w:val="00FD3299"/>
    <w:rsid w:val="00FD3E0B"/>
    <w:rsid w:val="00FD3E21"/>
    <w:rsid w:val="00FD3E66"/>
    <w:rsid w:val="00FD42DF"/>
    <w:rsid w:val="00FD507C"/>
    <w:rsid w:val="00FD5514"/>
    <w:rsid w:val="00FD6043"/>
    <w:rsid w:val="00FD62FD"/>
    <w:rsid w:val="00FD649D"/>
    <w:rsid w:val="00FD6731"/>
    <w:rsid w:val="00FD7A0E"/>
    <w:rsid w:val="00FD7D23"/>
    <w:rsid w:val="00FE0E33"/>
    <w:rsid w:val="00FE1DE9"/>
    <w:rsid w:val="00FE2E8C"/>
    <w:rsid w:val="00FE3AA3"/>
    <w:rsid w:val="00FE3AAF"/>
    <w:rsid w:val="00FE3BA7"/>
    <w:rsid w:val="00FE3C59"/>
    <w:rsid w:val="00FE42AB"/>
    <w:rsid w:val="00FE4B43"/>
    <w:rsid w:val="00FE4E81"/>
    <w:rsid w:val="00FE561B"/>
    <w:rsid w:val="00FE6063"/>
    <w:rsid w:val="00FE64DE"/>
    <w:rsid w:val="00FE68BD"/>
    <w:rsid w:val="00FE69D0"/>
    <w:rsid w:val="00FE69E0"/>
    <w:rsid w:val="00FE6A15"/>
    <w:rsid w:val="00FE6EAD"/>
    <w:rsid w:val="00FE7383"/>
    <w:rsid w:val="00FE7572"/>
    <w:rsid w:val="00FE7720"/>
    <w:rsid w:val="00FE79F4"/>
    <w:rsid w:val="00FE7A29"/>
    <w:rsid w:val="00FE7FAE"/>
    <w:rsid w:val="00FF03BE"/>
    <w:rsid w:val="00FF0A7B"/>
    <w:rsid w:val="00FF0CC6"/>
    <w:rsid w:val="00FF10A6"/>
    <w:rsid w:val="00FF1F55"/>
    <w:rsid w:val="00FF21C0"/>
    <w:rsid w:val="00FF2698"/>
    <w:rsid w:val="00FF289A"/>
    <w:rsid w:val="00FF28E8"/>
    <w:rsid w:val="00FF2C33"/>
    <w:rsid w:val="00FF35F6"/>
    <w:rsid w:val="00FF3A34"/>
    <w:rsid w:val="00FF3D50"/>
    <w:rsid w:val="00FF46A0"/>
    <w:rsid w:val="00FF4A75"/>
    <w:rsid w:val="00FF4FCF"/>
    <w:rsid w:val="00FF5700"/>
    <w:rsid w:val="00FF5887"/>
    <w:rsid w:val="00FF6123"/>
    <w:rsid w:val="00FF61B6"/>
    <w:rsid w:val="00FF63F1"/>
    <w:rsid w:val="00FF6EFF"/>
    <w:rsid w:val="00FF6F76"/>
    <w:rsid w:val="00FF72AF"/>
    <w:rsid w:val="00FF787F"/>
    <w:rsid w:val="00FF78F1"/>
    <w:rsid w:val="00FF7918"/>
    <w:rsid w:val="011A6866"/>
    <w:rsid w:val="012441A3"/>
    <w:rsid w:val="01B352D0"/>
    <w:rsid w:val="01BA4F83"/>
    <w:rsid w:val="01CE195F"/>
    <w:rsid w:val="01DB5E23"/>
    <w:rsid w:val="01FD081F"/>
    <w:rsid w:val="0205359C"/>
    <w:rsid w:val="024D7D13"/>
    <w:rsid w:val="02671768"/>
    <w:rsid w:val="02713DE6"/>
    <w:rsid w:val="02AC6EE3"/>
    <w:rsid w:val="02B04EC0"/>
    <w:rsid w:val="02BC71AD"/>
    <w:rsid w:val="02C43569"/>
    <w:rsid w:val="02CE7E43"/>
    <w:rsid w:val="03047480"/>
    <w:rsid w:val="031A67DB"/>
    <w:rsid w:val="033E7D4D"/>
    <w:rsid w:val="03533C7E"/>
    <w:rsid w:val="03594BB4"/>
    <w:rsid w:val="03661A20"/>
    <w:rsid w:val="037479AC"/>
    <w:rsid w:val="037F17B0"/>
    <w:rsid w:val="039779F8"/>
    <w:rsid w:val="03AC0960"/>
    <w:rsid w:val="03C875AF"/>
    <w:rsid w:val="03F70AAC"/>
    <w:rsid w:val="03FB03BA"/>
    <w:rsid w:val="04974851"/>
    <w:rsid w:val="04C110A8"/>
    <w:rsid w:val="04D330E5"/>
    <w:rsid w:val="04F43863"/>
    <w:rsid w:val="05432AEC"/>
    <w:rsid w:val="054801A4"/>
    <w:rsid w:val="05565CB7"/>
    <w:rsid w:val="05D30909"/>
    <w:rsid w:val="06052C96"/>
    <w:rsid w:val="06064044"/>
    <w:rsid w:val="062D2E9E"/>
    <w:rsid w:val="06457EFF"/>
    <w:rsid w:val="064736E1"/>
    <w:rsid w:val="06562BFB"/>
    <w:rsid w:val="06565D7C"/>
    <w:rsid w:val="066C37F1"/>
    <w:rsid w:val="06951488"/>
    <w:rsid w:val="06A96DD5"/>
    <w:rsid w:val="070809B8"/>
    <w:rsid w:val="0709165B"/>
    <w:rsid w:val="074664C8"/>
    <w:rsid w:val="075E2BE8"/>
    <w:rsid w:val="07BA016F"/>
    <w:rsid w:val="07E45326"/>
    <w:rsid w:val="07F517F1"/>
    <w:rsid w:val="085D6895"/>
    <w:rsid w:val="08613BC0"/>
    <w:rsid w:val="08CE4F68"/>
    <w:rsid w:val="09677E05"/>
    <w:rsid w:val="096D67C4"/>
    <w:rsid w:val="096F3AB3"/>
    <w:rsid w:val="099013BB"/>
    <w:rsid w:val="0993738C"/>
    <w:rsid w:val="09A13529"/>
    <w:rsid w:val="09B85BC9"/>
    <w:rsid w:val="09C6786C"/>
    <w:rsid w:val="0A0F4281"/>
    <w:rsid w:val="0A357478"/>
    <w:rsid w:val="0A9F2798"/>
    <w:rsid w:val="0AF43E3E"/>
    <w:rsid w:val="0B081503"/>
    <w:rsid w:val="0B1D5D06"/>
    <w:rsid w:val="0B477E59"/>
    <w:rsid w:val="0B562D09"/>
    <w:rsid w:val="0B57681E"/>
    <w:rsid w:val="0B8C4FC4"/>
    <w:rsid w:val="0B966720"/>
    <w:rsid w:val="0C1216D4"/>
    <w:rsid w:val="0C761E16"/>
    <w:rsid w:val="0C817C49"/>
    <w:rsid w:val="0C9A773C"/>
    <w:rsid w:val="0CA977E0"/>
    <w:rsid w:val="0CC27844"/>
    <w:rsid w:val="0CE003FC"/>
    <w:rsid w:val="0D1B387B"/>
    <w:rsid w:val="0D2A49B5"/>
    <w:rsid w:val="0D4D3EFB"/>
    <w:rsid w:val="0D635A49"/>
    <w:rsid w:val="0D94601F"/>
    <w:rsid w:val="0DA724A6"/>
    <w:rsid w:val="0DAC36B1"/>
    <w:rsid w:val="0DAE7E5A"/>
    <w:rsid w:val="0DC261F6"/>
    <w:rsid w:val="0DCE6BBF"/>
    <w:rsid w:val="0DED6EE6"/>
    <w:rsid w:val="0E124E1F"/>
    <w:rsid w:val="0E180E53"/>
    <w:rsid w:val="0E1B4102"/>
    <w:rsid w:val="0E3A31A8"/>
    <w:rsid w:val="0E4B5B47"/>
    <w:rsid w:val="0E730693"/>
    <w:rsid w:val="0ED5653E"/>
    <w:rsid w:val="0F22443F"/>
    <w:rsid w:val="0F2420D9"/>
    <w:rsid w:val="0F307FEC"/>
    <w:rsid w:val="0F3C0B99"/>
    <w:rsid w:val="0F56503F"/>
    <w:rsid w:val="0FA25608"/>
    <w:rsid w:val="0FDB79E8"/>
    <w:rsid w:val="102455DA"/>
    <w:rsid w:val="104B37A7"/>
    <w:rsid w:val="10597A73"/>
    <w:rsid w:val="10892F60"/>
    <w:rsid w:val="10A278B2"/>
    <w:rsid w:val="10B35684"/>
    <w:rsid w:val="10E42EAD"/>
    <w:rsid w:val="1162579A"/>
    <w:rsid w:val="11645B29"/>
    <w:rsid w:val="117311CF"/>
    <w:rsid w:val="118466DD"/>
    <w:rsid w:val="11BB176F"/>
    <w:rsid w:val="11D25A85"/>
    <w:rsid w:val="11E83C53"/>
    <w:rsid w:val="11F24330"/>
    <w:rsid w:val="12013B71"/>
    <w:rsid w:val="1223068B"/>
    <w:rsid w:val="122C1B04"/>
    <w:rsid w:val="12A36378"/>
    <w:rsid w:val="12D47797"/>
    <w:rsid w:val="12D7789A"/>
    <w:rsid w:val="12FC35E3"/>
    <w:rsid w:val="132049DE"/>
    <w:rsid w:val="13556D5D"/>
    <w:rsid w:val="136C31F8"/>
    <w:rsid w:val="13793021"/>
    <w:rsid w:val="139F7DC6"/>
    <w:rsid w:val="13B76D53"/>
    <w:rsid w:val="13CE5AA1"/>
    <w:rsid w:val="13D17381"/>
    <w:rsid w:val="13D756C0"/>
    <w:rsid w:val="143A6630"/>
    <w:rsid w:val="144F1694"/>
    <w:rsid w:val="147E1C9F"/>
    <w:rsid w:val="14A73900"/>
    <w:rsid w:val="14B17671"/>
    <w:rsid w:val="14CB4D5B"/>
    <w:rsid w:val="14F675A9"/>
    <w:rsid w:val="150B568A"/>
    <w:rsid w:val="156F7AEB"/>
    <w:rsid w:val="158F520F"/>
    <w:rsid w:val="15D61DD2"/>
    <w:rsid w:val="15F56798"/>
    <w:rsid w:val="16463162"/>
    <w:rsid w:val="165805F4"/>
    <w:rsid w:val="166A083F"/>
    <w:rsid w:val="16AF1C41"/>
    <w:rsid w:val="16D46322"/>
    <w:rsid w:val="16D46F4C"/>
    <w:rsid w:val="16DC22CD"/>
    <w:rsid w:val="17081FB7"/>
    <w:rsid w:val="17795A3A"/>
    <w:rsid w:val="178074B4"/>
    <w:rsid w:val="17BD258F"/>
    <w:rsid w:val="17BF061D"/>
    <w:rsid w:val="17F40DE9"/>
    <w:rsid w:val="18001AF4"/>
    <w:rsid w:val="18434349"/>
    <w:rsid w:val="18474D74"/>
    <w:rsid w:val="18564DF2"/>
    <w:rsid w:val="18605CE7"/>
    <w:rsid w:val="18647644"/>
    <w:rsid w:val="188B1B94"/>
    <w:rsid w:val="189F2C3B"/>
    <w:rsid w:val="18CA1995"/>
    <w:rsid w:val="18FB3E10"/>
    <w:rsid w:val="18FE5DA4"/>
    <w:rsid w:val="19037083"/>
    <w:rsid w:val="193B3AC8"/>
    <w:rsid w:val="19427B81"/>
    <w:rsid w:val="19675EDF"/>
    <w:rsid w:val="19784575"/>
    <w:rsid w:val="19CE3D1E"/>
    <w:rsid w:val="1A18361C"/>
    <w:rsid w:val="1A190272"/>
    <w:rsid w:val="1A3E2D41"/>
    <w:rsid w:val="1A5F2FF9"/>
    <w:rsid w:val="1A7F6743"/>
    <w:rsid w:val="1A8962C8"/>
    <w:rsid w:val="1AAC1FB7"/>
    <w:rsid w:val="1AB15EBF"/>
    <w:rsid w:val="1AB3361B"/>
    <w:rsid w:val="1ABA46D4"/>
    <w:rsid w:val="1AC10334"/>
    <w:rsid w:val="1AE07A83"/>
    <w:rsid w:val="1AFA5418"/>
    <w:rsid w:val="1B1C5950"/>
    <w:rsid w:val="1B2377D1"/>
    <w:rsid w:val="1B6C1320"/>
    <w:rsid w:val="1BA11D3E"/>
    <w:rsid w:val="1BBA5D22"/>
    <w:rsid w:val="1BC84042"/>
    <w:rsid w:val="1BE44F29"/>
    <w:rsid w:val="1BEC4F87"/>
    <w:rsid w:val="1C0876C1"/>
    <w:rsid w:val="1C2F1999"/>
    <w:rsid w:val="1C3A7DCC"/>
    <w:rsid w:val="1C6124C2"/>
    <w:rsid w:val="1C795284"/>
    <w:rsid w:val="1C7E45DE"/>
    <w:rsid w:val="1C9858C0"/>
    <w:rsid w:val="1CAE604C"/>
    <w:rsid w:val="1D001070"/>
    <w:rsid w:val="1D153182"/>
    <w:rsid w:val="1D316CE7"/>
    <w:rsid w:val="1D502624"/>
    <w:rsid w:val="1DBF6545"/>
    <w:rsid w:val="1DE73B26"/>
    <w:rsid w:val="1E366767"/>
    <w:rsid w:val="1E4D1A13"/>
    <w:rsid w:val="1E6C0315"/>
    <w:rsid w:val="1E746BB6"/>
    <w:rsid w:val="1E782BB0"/>
    <w:rsid w:val="1E9C5868"/>
    <w:rsid w:val="1EAE6C58"/>
    <w:rsid w:val="1ED56D4C"/>
    <w:rsid w:val="1ED57C9B"/>
    <w:rsid w:val="1EFB3F53"/>
    <w:rsid w:val="1F305248"/>
    <w:rsid w:val="1F601AB8"/>
    <w:rsid w:val="1F8E0785"/>
    <w:rsid w:val="1FA5054C"/>
    <w:rsid w:val="1FAD07FF"/>
    <w:rsid w:val="1FFA14E7"/>
    <w:rsid w:val="20007DBF"/>
    <w:rsid w:val="201E5705"/>
    <w:rsid w:val="204A235B"/>
    <w:rsid w:val="20680C4C"/>
    <w:rsid w:val="207677BE"/>
    <w:rsid w:val="20E8698A"/>
    <w:rsid w:val="20F96848"/>
    <w:rsid w:val="215A130A"/>
    <w:rsid w:val="21723F5A"/>
    <w:rsid w:val="218E1EA5"/>
    <w:rsid w:val="22130CB7"/>
    <w:rsid w:val="2219764C"/>
    <w:rsid w:val="22214B06"/>
    <w:rsid w:val="223905D4"/>
    <w:rsid w:val="2242325A"/>
    <w:rsid w:val="226C09A9"/>
    <w:rsid w:val="228D7B20"/>
    <w:rsid w:val="22B3482A"/>
    <w:rsid w:val="22E50B56"/>
    <w:rsid w:val="231001DE"/>
    <w:rsid w:val="232B6E4B"/>
    <w:rsid w:val="234E24A5"/>
    <w:rsid w:val="23C47761"/>
    <w:rsid w:val="24337EBB"/>
    <w:rsid w:val="244347D9"/>
    <w:rsid w:val="24573C9F"/>
    <w:rsid w:val="24B40286"/>
    <w:rsid w:val="24B525E8"/>
    <w:rsid w:val="24BF2DF0"/>
    <w:rsid w:val="24D55D6C"/>
    <w:rsid w:val="24D9609E"/>
    <w:rsid w:val="24DA0DB7"/>
    <w:rsid w:val="24EC7B7F"/>
    <w:rsid w:val="25976C1E"/>
    <w:rsid w:val="25BA0040"/>
    <w:rsid w:val="25D219D4"/>
    <w:rsid w:val="25DC7B72"/>
    <w:rsid w:val="26153532"/>
    <w:rsid w:val="26995779"/>
    <w:rsid w:val="26A30C4F"/>
    <w:rsid w:val="26CF14F5"/>
    <w:rsid w:val="26E3233C"/>
    <w:rsid w:val="26FA0EE9"/>
    <w:rsid w:val="270D2016"/>
    <w:rsid w:val="270F629A"/>
    <w:rsid w:val="274467BC"/>
    <w:rsid w:val="27532138"/>
    <w:rsid w:val="27857BCE"/>
    <w:rsid w:val="27996516"/>
    <w:rsid w:val="27A05EBE"/>
    <w:rsid w:val="27A73194"/>
    <w:rsid w:val="28541CEF"/>
    <w:rsid w:val="28BA6F1B"/>
    <w:rsid w:val="28C621BE"/>
    <w:rsid w:val="29064F88"/>
    <w:rsid w:val="293159BB"/>
    <w:rsid w:val="293415F2"/>
    <w:rsid w:val="293C55F6"/>
    <w:rsid w:val="29424DA8"/>
    <w:rsid w:val="2948755E"/>
    <w:rsid w:val="29890E0B"/>
    <w:rsid w:val="29A0478D"/>
    <w:rsid w:val="29BC713E"/>
    <w:rsid w:val="29CF7A77"/>
    <w:rsid w:val="29D36115"/>
    <w:rsid w:val="29F65FC8"/>
    <w:rsid w:val="2A123A95"/>
    <w:rsid w:val="2A4F0523"/>
    <w:rsid w:val="2A8B1BE9"/>
    <w:rsid w:val="2ABC3974"/>
    <w:rsid w:val="2AEA2DB3"/>
    <w:rsid w:val="2AEF676C"/>
    <w:rsid w:val="2AF2146F"/>
    <w:rsid w:val="2B146082"/>
    <w:rsid w:val="2B2B7298"/>
    <w:rsid w:val="2B563406"/>
    <w:rsid w:val="2B695F2D"/>
    <w:rsid w:val="2B6F62EA"/>
    <w:rsid w:val="2BC557E4"/>
    <w:rsid w:val="2BC8413A"/>
    <w:rsid w:val="2C1874AC"/>
    <w:rsid w:val="2C231724"/>
    <w:rsid w:val="2C2D5AB1"/>
    <w:rsid w:val="2C6C1F99"/>
    <w:rsid w:val="2C6D19AF"/>
    <w:rsid w:val="2C7112AA"/>
    <w:rsid w:val="2CE80A96"/>
    <w:rsid w:val="2D084B2E"/>
    <w:rsid w:val="2D2C593A"/>
    <w:rsid w:val="2D4B7024"/>
    <w:rsid w:val="2D855E29"/>
    <w:rsid w:val="2DAE1CE5"/>
    <w:rsid w:val="2DD26084"/>
    <w:rsid w:val="2DF50E4C"/>
    <w:rsid w:val="2E1D1DD7"/>
    <w:rsid w:val="2E3801C2"/>
    <w:rsid w:val="2E447863"/>
    <w:rsid w:val="2E521258"/>
    <w:rsid w:val="2E8961F3"/>
    <w:rsid w:val="2ECA2F77"/>
    <w:rsid w:val="2EDB0E10"/>
    <w:rsid w:val="2EF22E88"/>
    <w:rsid w:val="2EFC6682"/>
    <w:rsid w:val="2F0701F1"/>
    <w:rsid w:val="2F4008F0"/>
    <w:rsid w:val="2F506816"/>
    <w:rsid w:val="2F670EA1"/>
    <w:rsid w:val="2FBC4B11"/>
    <w:rsid w:val="30674E1D"/>
    <w:rsid w:val="30717DDF"/>
    <w:rsid w:val="307C4153"/>
    <w:rsid w:val="30DF6B43"/>
    <w:rsid w:val="30E943DD"/>
    <w:rsid w:val="30FF5064"/>
    <w:rsid w:val="31081EA7"/>
    <w:rsid w:val="31197F4E"/>
    <w:rsid w:val="3141366B"/>
    <w:rsid w:val="3158017B"/>
    <w:rsid w:val="315C34A7"/>
    <w:rsid w:val="31644F41"/>
    <w:rsid w:val="31A6444F"/>
    <w:rsid w:val="31B51D4F"/>
    <w:rsid w:val="31FC4B4E"/>
    <w:rsid w:val="31FD4D44"/>
    <w:rsid w:val="32127AE0"/>
    <w:rsid w:val="321D0928"/>
    <w:rsid w:val="321E6B37"/>
    <w:rsid w:val="32583D92"/>
    <w:rsid w:val="32A136F5"/>
    <w:rsid w:val="33027019"/>
    <w:rsid w:val="33197C26"/>
    <w:rsid w:val="33202709"/>
    <w:rsid w:val="33432D16"/>
    <w:rsid w:val="3359140C"/>
    <w:rsid w:val="33870D47"/>
    <w:rsid w:val="33917327"/>
    <w:rsid w:val="33944166"/>
    <w:rsid w:val="339906C6"/>
    <w:rsid w:val="33EE38EC"/>
    <w:rsid w:val="33F824D4"/>
    <w:rsid w:val="34057404"/>
    <w:rsid w:val="342C0301"/>
    <w:rsid w:val="346B5BBB"/>
    <w:rsid w:val="34755544"/>
    <w:rsid w:val="35436D09"/>
    <w:rsid w:val="35572780"/>
    <w:rsid w:val="35790AA7"/>
    <w:rsid w:val="35D4122E"/>
    <w:rsid w:val="36034991"/>
    <w:rsid w:val="36294737"/>
    <w:rsid w:val="362D288A"/>
    <w:rsid w:val="36AD6F61"/>
    <w:rsid w:val="36D85478"/>
    <w:rsid w:val="36D859C1"/>
    <w:rsid w:val="370960A2"/>
    <w:rsid w:val="37630F11"/>
    <w:rsid w:val="379962C8"/>
    <w:rsid w:val="37D033D6"/>
    <w:rsid w:val="3801173C"/>
    <w:rsid w:val="380E04B8"/>
    <w:rsid w:val="382E17CA"/>
    <w:rsid w:val="38336CB8"/>
    <w:rsid w:val="38346C4D"/>
    <w:rsid w:val="386F27DC"/>
    <w:rsid w:val="3871021D"/>
    <w:rsid w:val="38807C4C"/>
    <w:rsid w:val="388C36FB"/>
    <w:rsid w:val="38953C0C"/>
    <w:rsid w:val="38F31246"/>
    <w:rsid w:val="390D50FE"/>
    <w:rsid w:val="3920299E"/>
    <w:rsid w:val="393848D3"/>
    <w:rsid w:val="39506F80"/>
    <w:rsid w:val="39605500"/>
    <w:rsid w:val="39CB3DB0"/>
    <w:rsid w:val="39CC2E4D"/>
    <w:rsid w:val="39FD5F33"/>
    <w:rsid w:val="3A093966"/>
    <w:rsid w:val="3A3F0CAB"/>
    <w:rsid w:val="3A694E3D"/>
    <w:rsid w:val="3A7F4B3B"/>
    <w:rsid w:val="3AEA3F01"/>
    <w:rsid w:val="3AFD088E"/>
    <w:rsid w:val="3B561D9F"/>
    <w:rsid w:val="3B585102"/>
    <w:rsid w:val="3B5D6D8A"/>
    <w:rsid w:val="3BAE3989"/>
    <w:rsid w:val="3BBC2D79"/>
    <w:rsid w:val="3BD31D2F"/>
    <w:rsid w:val="3BD83DF1"/>
    <w:rsid w:val="3BE17D1C"/>
    <w:rsid w:val="3BEA3AE0"/>
    <w:rsid w:val="3BF03459"/>
    <w:rsid w:val="3C1852A6"/>
    <w:rsid w:val="3C214BAA"/>
    <w:rsid w:val="3C3B03DE"/>
    <w:rsid w:val="3C6A69AF"/>
    <w:rsid w:val="3C8D64D8"/>
    <w:rsid w:val="3CE16D21"/>
    <w:rsid w:val="3CEE0C71"/>
    <w:rsid w:val="3CF67CD9"/>
    <w:rsid w:val="3D540260"/>
    <w:rsid w:val="3D6F2559"/>
    <w:rsid w:val="3D705197"/>
    <w:rsid w:val="3D970069"/>
    <w:rsid w:val="3DCB3CA6"/>
    <w:rsid w:val="3DDA5D96"/>
    <w:rsid w:val="3DDF50AB"/>
    <w:rsid w:val="3DE27F03"/>
    <w:rsid w:val="3E153D3B"/>
    <w:rsid w:val="3E6D0260"/>
    <w:rsid w:val="3F0B3EEB"/>
    <w:rsid w:val="3F3B024A"/>
    <w:rsid w:val="3F46523A"/>
    <w:rsid w:val="3F7A6F76"/>
    <w:rsid w:val="3F9B42C4"/>
    <w:rsid w:val="3FA42865"/>
    <w:rsid w:val="3FE56DC3"/>
    <w:rsid w:val="3FE656A7"/>
    <w:rsid w:val="40037B9C"/>
    <w:rsid w:val="405B2D48"/>
    <w:rsid w:val="40632A35"/>
    <w:rsid w:val="40EC6412"/>
    <w:rsid w:val="40F2256A"/>
    <w:rsid w:val="40F56B8A"/>
    <w:rsid w:val="410B53D9"/>
    <w:rsid w:val="410F7378"/>
    <w:rsid w:val="4127768F"/>
    <w:rsid w:val="41461A1C"/>
    <w:rsid w:val="41825350"/>
    <w:rsid w:val="41831414"/>
    <w:rsid w:val="419914CD"/>
    <w:rsid w:val="41AA52D8"/>
    <w:rsid w:val="41AE5431"/>
    <w:rsid w:val="41C24029"/>
    <w:rsid w:val="41D74055"/>
    <w:rsid w:val="41E54420"/>
    <w:rsid w:val="41F707B4"/>
    <w:rsid w:val="42107D45"/>
    <w:rsid w:val="42165DE4"/>
    <w:rsid w:val="422740FC"/>
    <w:rsid w:val="4233665D"/>
    <w:rsid w:val="425D4F69"/>
    <w:rsid w:val="42737337"/>
    <w:rsid w:val="4285310A"/>
    <w:rsid w:val="42B96492"/>
    <w:rsid w:val="42C32D26"/>
    <w:rsid w:val="42C84162"/>
    <w:rsid w:val="42DA75A5"/>
    <w:rsid w:val="42E52BE4"/>
    <w:rsid w:val="42F27F8E"/>
    <w:rsid w:val="430C12E1"/>
    <w:rsid w:val="43562841"/>
    <w:rsid w:val="43692261"/>
    <w:rsid w:val="436A27D3"/>
    <w:rsid w:val="436C7145"/>
    <w:rsid w:val="43853221"/>
    <w:rsid w:val="43B74114"/>
    <w:rsid w:val="43B77BE2"/>
    <w:rsid w:val="43D4081F"/>
    <w:rsid w:val="43E46DD8"/>
    <w:rsid w:val="441C5684"/>
    <w:rsid w:val="445E1829"/>
    <w:rsid w:val="44BC24A0"/>
    <w:rsid w:val="44C64D3B"/>
    <w:rsid w:val="455142AE"/>
    <w:rsid w:val="45546CFA"/>
    <w:rsid w:val="456D78C7"/>
    <w:rsid w:val="45913FAF"/>
    <w:rsid w:val="45BE2A1A"/>
    <w:rsid w:val="45C049E4"/>
    <w:rsid w:val="45C84F3E"/>
    <w:rsid w:val="461B197A"/>
    <w:rsid w:val="46215A31"/>
    <w:rsid w:val="463C19AA"/>
    <w:rsid w:val="46442FC8"/>
    <w:rsid w:val="46696E2A"/>
    <w:rsid w:val="46D75D70"/>
    <w:rsid w:val="46E42A6B"/>
    <w:rsid w:val="46F1103A"/>
    <w:rsid w:val="47481E98"/>
    <w:rsid w:val="477F62C8"/>
    <w:rsid w:val="47C85DD2"/>
    <w:rsid w:val="47F164C1"/>
    <w:rsid w:val="481A45C0"/>
    <w:rsid w:val="482A0D40"/>
    <w:rsid w:val="483B294D"/>
    <w:rsid w:val="485313BE"/>
    <w:rsid w:val="488F54E5"/>
    <w:rsid w:val="48AD7DCD"/>
    <w:rsid w:val="496755AC"/>
    <w:rsid w:val="499B432A"/>
    <w:rsid w:val="49A77646"/>
    <w:rsid w:val="49F964BB"/>
    <w:rsid w:val="4A0A2437"/>
    <w:rsid w:val="4A1B668D"/>
    <w:rsid w:val="4A283C46"/>
    <w:rsid w:val="4A482E5B"/>
    <w:rsid w:val="4A9D1EAE"/>
    <w:rsid w:val="4AD91BC8"/>
    <w:rsid w:val="4AF53CA8"/>
    <w:rsid w:val="4B865BB7"/>
    <w:rsid w:val="4B9A0BDE"/>
    <w:rsid w:val="4BD362C5"/>
    <w:rsid w:val="4BD42F98"/>
    <w:rsid w:val="4C0F7D88"/>
    <w:rsid w:val="4C3954F1"/>
    <w:rsid w:val="4C633339"/>
    <w:rsid w:val="4C6A2AED"/>
    <w:rsid w:val="4C7F66BE"/>
    <w:rsid w:val="4CB77BB6"/>
    <w:rsid w:val="4CD004ED"/>
    <w:rsid w:val="4CDD6828"/>
    <w:rsid w:val="4CE27C84"/>
    <w:rsid w:val="4CE64E42"/>
    <w:rsid w:val="4CF343D9"/>
    <w:rsid w:val="4CF72208"/>
    <w:rsid w:val="4D0369C3"/>
    <w:rsid w:val="4D253FAC"/>
    <w:rsid w:val="4D5B697E"/>
    <w:rsid w:val="4D771F07"/>
    <w:rsid w:val="4D7D140D"/>
    <w:rsid w:val="4DA9312F"/>
    <w:rsid w:val="4DBD465B"/>
    <w:rsid w:val="4DCB4B8F"/>
    <w:rsid w:val="4DCE1C69"/>
    <w:rsid w:val="4DD24C40"/>
    <w:rsid w:val="4DD30E57"/>
    <w:rsid w:val="4DF05F69"/>
    <w:rsid w:val="4E044E12"/>
    <w:rsid w:val="4E1D18A0"/>
    <w:rsid w:val="4E21623C"/>
    <w:rsid w:val="4E285489"/>
    <w:rsid w:val="4E6E22C2"/>
    <w:rsid w:val="4E9C6FCD"/>
    <w:rsid w:val="4E9E4072"/>
    <w:rsid w:val="4ECF7205"/>
    <w:rsid w:val="4F3D0E54"/>
    <w:rsid w:val="4F967322"/>
    <w:rsid w:val="4FA320C8"/>
    <w:rsid w:val="4FAC5394"/>
    <w:rsid w:val="4FBC607E"/>
    <w:rsid w:val="50355C5B"/>
    <w:rsid w:val="509B4BF8"/>
    <w:rsid w:val="50AC5BA0"/>
    <w:rsid w:val="50E20E8F"/>
    <w:rsid w:val="51004AF4"/>
    <w:rsid w:val="51412739"/>
    <w:rsid w:val="517D0EB9"/>
    <w:rsid w:val="519974BE"/>
    <w:rsid w:val="51B869B1"/>
    <w:rsid w:val="51CD457B"/>
    <w:rsid w:val="51D21ABC"/>
    <w:rsid w:val="51EB07B5"/>
    <w:rsid w:val="521D7752"/>
    <w:rsid w:val="52233AD6"/>
    <w:rsid w:val="522F05CC"/>
    <w:rsid w:val="52711961"/>
    <w:rsid w:val="528F2C2E"/>
    <w:rsid w:val="52DE3DB6"/>
    <w:rsid w:val="53003677"/>
    <w:rsid w:val="531A2502"/>
    <w:rsid w:val="531F3D05"/>
    <w:rsid w:val="534A21E8"/>
    <w:rsid w:val="534F6E4A"/>
    <w:rsid w:val="53786DC1"/>
    <w:rsid w:val="537E2BA6"/>
    <w:rsid w:val="53FD5CD8"/>
    <w:rsid w:val="54152605"/>
    <w:rsid w:val="541E01C1"/>
    <w:rsid w:val="541F4C02"/>
    <w:rsid w:val="5441428C"/>
    <w:rsid w:val="5476551F"/>
    <w:rsid w:val="547846DC"/>
    <w:rsid w:val="54905D80"/>
    <w:rsid w:val="54B11BEE"/>
    <w:rsid w:val="54BC3100"/>
    <w:rsid w:val="54D01408"/>
    <w:rsid w:val="552D54C7"/>
    <w:rsid w:val="55415196"/>
    <w:rsid w:val="554B4D4A"/>
    <w:rsid w:val="55502B68"/>
    <w:rsid w:val="5564116D"/>
    <w:rsid w:val="558C4993"/>
    <w:rsid w:val="55995A0B"/>
    <w:rsid w:val="56944F66"/>
    <w:rsid w:val="56AF7BAD"/>
    <w:rsid w:val="56C131DF"/>
    <w:rsid w:val="56CA0A0E"/>
    <w:rsid w:val="56DF1853"/>
    <w:rsid w:val="56EE11B7"/>
    <w:rsid w:val="56F065A3"/>
    <w:rsid w:val="57424A77"/>
    <w:rsid w:val="57A4331E"/>
    <w:rsid w:val="58160494"/>
    <w:rsid w:val="58384212"/>
    <w:rsid w:val="584240B5"/>
    <w:rsid w:val="58546F26"/>
    <w:rsid w:val="585F7108"/>
    <w:rsid w:val="58711E8F"/>
    <w:rsid w:val="58816522"/>
    <w:rsid w:val="588B432B"/>
    <w:rsid w:val="58906498"/>
    <w:rsid w:val="58AA0E92"/>
    <w:rsid w:val="58E21965"/>
    <w:rsid w:val="58EC6A44"/>
    <w:rsid w:val="59293157"/>
    <w:rsid w:val="593A5C7F"/>
    <w:rsid w:val="59550201"/>
    <w:rsid w:val="59611F70"/>
    <w:rsid w:val="59851106"/>
    <w:rsid w:val="59852CA6"/>
    <w:rsid w:val="59C363FA"/>
    <w:rsid w:val="5A1D2AAE"/>
    <w:rsid w:val="5A3322AA"/>
    <w:rsid w:val="5A38269E"/>
    <w:rsid w:val="5A3C1D2A"/>
    <w:rsid w:val="5A3C3178"/>
    <w:rsid w:val="5A7871E4"/>
    <w:rsid w:val="5A853AD1"/>
    <w:rsid w:val="5A955DAE"/>
    <w:rsid w:val="5AA5451C"/>
    <w:rsid w:val="5AB844CB"/>
    <w:rsid w:val="5AE8708E"/>
    <w:rsid w:val="5AF745AD"/>
    <w:rsid w:val="5B485A1D"/>
    <w:rsid w:val="5B6A6C9C"/>
    <w:rsid w:val="5BDC4561"/>
    <w:rsid w:val="5C1E7567"/>
    <w:rsid w:val="5C7C1B74"/>
    <w:rsid w:val="5CAA3E67"/>
    <w:rsid w:val="5CFB0FC0"/>
    <w:rsid w:val="5D00167B"/>
    <w:rsid w:val="5D111EBC"/>
    <w:rsid w:val="5D8F7ECB"/>
    <w:rsid w:val="5DA5168F"/>
    <w:rsid w:val="5DAA589B"/>
    <w:rsid w:val="5DBE6BD8"/>
    <w:rsid w:val="5DE435F6"/>
    <w:rsid w:val="5DE87330"/>
    <w:rsid w:val="5DE97DD1"/>
    <w:rsid w:val="5E0D09E7"/>
    <w:rsid w:val="5E182583"/>
    <w:rsid w:val="5E312A59"/>
    <w:rsid w:val="5E6B67E7"/>
    <w:rsid w:val="5E830B0B"/>
    <w:rsid w:val="5E876BD3"/>
    <w:rsid w:val="5EB86749"/>
    <w:rsid w:val="5ECA5A7B"/>
    <w:rsid w:val="5ED922B0"/>
    <w:rsid w:val="5EFB1F56"/>
    <w:rsid w:val="5F0B14C0"/>
    <w:rsid w:val="5F27691A"/>
    <w:rsid w:val="5FAC5906"/>
    <w:rsid w:val="5FB95798"/>
    <w:rsid w:val="5FBC1A5D"/>
    <w:rsid w:val="5FC56B27"/>
    <w:rsid w:val="5FC96595"/>
    <w:rsid w:val="5FE3037E"/>
    <w:rsid w:val="5FEE728A"/>
    <w:rsid w:val="5FF247AE"/>
    <w:rsid w:val="60126C94"/>
    <w:rsid w:val="602A6B37"/>
    <w:rsid w:val="605E2016"/>
    <w:rsid w:val="606E65A5"/>
    <w:rsid w:val="60CA2C0B"/>
    <w:rsid w:val="60D50607"/>
    <w:rsid w:val="60D51050"/>
    <w:rsid w:val="61251E5E"/>
    <w:rsid w:val="61315BB8"/>
    <w:rsid w:val="61487DC5"/>
    <w:rsid w:val="615B560E"/>
    <w:rsid w:val="615F4C5A"/>
    <w:rsid w:val="61A34778"/>
    <w:rsid w:val="61E52A4E"/>
    <w:rsid w:val="620E4D9C"/>
    <w:rsid w:val="624338D1"/>
    <w:rsid w:val="624B00A2"/>
    <w:rsid w:val="624D1D87"/>
    <w:rsid w:val="62684A2D"/>
    <w:rsid w:val="6280209A"/>
    <w:rsid w:val="629E14EF"/>
    <w:rsid w:val="62A4648A"/>
    <w:rsid w:val="62BC4DC9"/>
    <w:rsid w:val="62DD1119"/>
    <w:rsid w:val="62E00838"/>
    <w:rsid w:val="6303063B"/>
    <w:rsid w:val="63805977"/>
    <w:rsid w:val="638B719D"/>
    <w:rsid w:val="63D038C1"/>
    <w:rsid w:val="63D06CE9"/>
    <w:rsid w:val="63D077BA"/>
    <w:rsid w:val="64087FDD"/>
    <w:rsid w:val="640F0D85"/>
    <w:rsid w:val="645F6785"/>
    <w:rsid w:val="647C4D8D"/>
    <w:rsid w:val="64840E54"/>
    <w:rsid w:val="6488403E"/>
    <w:rsid w:val="64920ADC"/>
    <w:rsid w:val="64BD0615"/>
    <w:rsid w:val="64BF5411"/>
    <w:rsid w:val="64C16F63"/>
    <w:rsid w:val="64CD4177"/>
    <w:rsid w:val="64E520E7"/>
    <w:rsid w:val="64F55ABC"/>
    <w:rsid w:val="64F755EA"/>
    <w:rsid w:val="6502427A"/>
    <w:rsid w:val="65553723"/>
    <w:rsid w:val="65567CC1"/>
    <w:rsid w:val="655C08B3"/>
    <w:rsid w:val="65736F26"/>
    <w:rsid w:val="65AA03D2"/>
    <w:rsid w:val="65DA6D9B"/>
    <w:rsid w:val="65FD3284"/>
    <w:rsid w:val="6607421A"/>
    <w:rsid w:val="667567F2"/>
    <w:rsid w:val="66C95843"/>
    <w:rsid w:val="66CE0D66"/>
    <w:rsid w:val="66F202DF"/>
    <w:rsid w:val="671C61EA"/>
    <w:rsid w:val="674608B6"/>
    <w:rsid w:val="67632ECB"/>
    <w:rsid w:val="676862D4"/>
    <w:rsid w:val="67CD6FF6"/>
    <w:rsid w:val="67CF3362"/>
    <w:rsid w:val="67DA5476"/>
    <w:rsid w:val="67EF22D1"/>
    <w:rsid w:val="68475AD3"/>
    <w:rsid w:val="685958E1"/>
    <w:rsid w:val="68A11A4A"/>
    <w:rsid w:val="68DB3760"/>
    <w:rsid w:val="68F0088D"/>
    <w:rsid w:val="691839A3"/>
    <w:rsid w:val="69785647"/>
    <w:rsid w:val="697C237A"/>
    <w:rsid w:val="69BB219F"/>
    <w:rsid w:val="69D02708"/>
    <w:rsid w:val="69DB5E2F"/>
    <w:rsid w:val="6A31672C"/>
    <w:rsid w:val="6A545D6C"/>
    <w:rsid w:val="6A955A02"/>
    <w:rsid w:val="6AEE5902"/>
    <w:rsid w:val="6B3C09D4"/>
    <w:rsid w:val="6B5646D7"/>
    <w:rsid w:val="6B673E4A"/>
    <w:rsid w:val="6B720858"/>
    <w:rsid w:val="6B745057"/>
    <w:rsid w:val="6B792DD8"/>
    <w:rsid w:val="6BA00E6B"/>
    <w:rsid w:val="6BBD6FC6"/>
    <w:rsid w:val="6BC85AE4"/>
    <w:rsid w:val="6BDD79CF"/>
    <w:rsid w:val="6C4D7E86"/>
    <w:rsid w:val="6C590FA3"/>
    <w:rsid w:val="6C697010"/>
    <w:rsid w:val="6C6F2BEE"/>
    <w:rsid w:val="6C7D40B7"/>
    <w:rsid w:val="6C856FF3"/>
    <w:rsid w:val="6CAF5DE5"/>
    <w:rsid w:val="6D293736"/>
    <w:rsid w:val="6D3725C9"/>
    <w:rsid w:val="6D484065"/>
    <w:rsid w:val="6D7B55F6"/>
    <w:rsid w:val="6DD158AA"/>
    <w:rsid w:val="6DF90C47"/>
    <w:rsid w:val="6E3268BE"/>
    <w:rsid w:val="6E466C05"/>
    <w:rsid w:val="6E6B7334"/>
    <w:rsid w:val="6E7F3491"/>
    <w:rsid w:val="6EA07DC5"/>
    <w:rsid w:val="6ED742C8"/>
    <w:rsid w:val="6F0830CE"/>
    <w:rsid w:val="6F223402"/>
    <w:rsid w:val="6F4B18B1"/>
    <w:rsid w:val="6FB10D76"/>
    <w:rsid w:val="6FF96B51"/>
    <w:rsid w:val="700968EE"/>
    <w:rsid w:val="70164E77"/>
    <w:rsid w:val="705F09F4"/>
    <w:rsid w:val="706B1C0A"/>
    <w:rsid w:val="70A61F88"/>
    <w:rsid w:val="70A90B08"/>
    <w:rsid w:val="70B14F2E"/>
    <w:rsid w:val="711C0405"/>
    <w:rsid w:val="713166D2"/>
    <w:rsid w:val="718933B8"/>
    <w:rsid w:val="71971644"/>
    <w:rsid w:val="71D46E60"/>
    <w:rsid w:val="71FA31A6"/>
    <w:rsid w:val="720B74D8"/>
    <w:rsid w:val="721B73FD"/>
    <w:rsid w:val="72225745"/>
    <w:rsid w:val="723E4F1D"/>
    <w:rsid w:val="7250132B"/>
    <w:rsid w:val="72641BC3"/>
    <w:rsid w:val="72747C9E"/>
    <w:rsid w:val="727B6C1E"/>
    <w:rsid w:val="72B815EF"/>
    <w:rsid w:val="72CC382F"/>
    <w:rsid w:val="730C4F7C"/>
    <w:rsid w:val="7312501A"/>
    <w:rsid w:val="732F7E0C"/>
    <w:rsid w:val="733C4BAC"/>
    <w:rsid w:val="737118CA"/>
    <w:rsid w:val="73C13212"/>
    <w:rsid w:val="73F31C9B"/>
    <w:rsid w:val="747672AB"/>
    <w:rsid w:val="74A4472D"/>
    <w:rsid w:val="74BD6356"/>
    <w:rsid w:val="74D84FF7"/>
    <w:rsid w:val="7536724C"/>
    <w:rsid w:val="7539091C"/>
    <w:rsid w:val="754A6885"/>
    <w:rsid w:val="7550012A"/>
    <w:rsid w:val="755F3023"/>
    <w:rsid w:val="75835128"/>
    <w:rsid w:val="75BC2223"/>
    <w:rsid w:val="76085A2F"/>
    <w:rsid w:val="76272D0A"/>
    <w:rsid w:val="76340295"/>
    <w:rsid w:val="76603B53"/>
    <w:rsid w:val="76685F07"/>
    <w:rsid w:val="76822DF2"/>
    <w:rsid w:val="768510D1"/>
    <w:rsid w:val="768650ED"/>
    <w:rsid w:val="76BC3ABD"/>
    <w:rsid w:val="76FE1268"/>
    <w:rsid w:val="77224F21"/>
    <w:rsid w:val="77335EBA"/>
    <w:rsid w:val="77415074"/>
    <w:rsid w:val="7750169A"/>
    <w:rsid w:val="77530CAC"/>
    <w:rsid w:val="77553359"/>
    <w:rsid w:val="775C4D6B"/>
    <w:rsid w:val="776E43C1"/>
    <w:rsid w:val="7770413C"/>
    <w:rsid w:val="77822286"/>
    <w:rsid w:val="7784595D"/>
    <w:rsid w:val="778B2729"/>
    <w:rsid w:val="77BF7B5C"/>
    <w:rsid w:val="77D56AF3"/>
    <w:rsid w:val="78054355"/>
    <w:rsid w:val="78306EF8"/>
    <w:rsid w:val="7836450F"/>
    <w:rsid w:val="787B0173"/>
    <w:rsid w:val="789107D8"/>
    <w:rsid w:val="789821D4"/>
    <w:rsid w:val="79402A2E"/>
    <w:rsid w:val="795F5CCC"/>
    <w:rsid w:val="79634FA1"/>
    <w:rsid w:val="79684A7C"/>
    <w:rsid w:val="79EA1E0B"/>
    <w:rsid w:val="79EF3CDC"/>
    <w:rsid w:val="79F41471"/>
    <w:rsid w:val="7A19269B"/>
    <w:rsid w:val="7A757D82"/>
    <w:rsid w:val="7A82486B"/>
    <w:rsid w:val="7ACF47A6"/>
    <w:rsid w:val="7B020277"/>
    <w:rsid w:val="7B02692A"/>
    <w:rsid w:val="7B0A5C8E"/>
    <w:rsid w:val="7B0E7C5F"/>
    <w:rsid w:val="7B110347"/>
    <w:rsid w:val="7B2D170F"/>
    <w:rsid w:val="7B586CC4"/>
    <w:rsid w:val="7B85346D"/>
    <w:rsid w:val="7BAB6FC2"/>
    <w:rsid w:val="7BE44613"/>
    <w:rsid w:val="7BFF3A2D"/>
    <w:rsid w:val="7C341683"/>
    <w:rsid w:val="7C354ADD"/>
    <w:rsid w:val="7C4116D4"/>
    <w:rsid w:val="7C465C73"/>
    <w:rsid w:val="7C48309C"/>
    <w:rsid w:val="7C5551C5"/>
    <w:rsid w:val="7C5D29C3"/>
    <w:rsid w:val="7C6C6F83"/>
    <w:rsid w:val="7C6D15FC"/>
    <w:rsid w:val="7C76352D"/>
    <w:rsid w:val="7C764266"/>
    <w:rsid w:val="7C963F27"/>
    <w:rsid w:val="7CBB2E60"/>
    <w:rsid w:val="7CC569A6"/>
    <w:rsid w:val="7CD640BB"/>
    <w:rsid w:val="7CDA4259"/>
    <w:rsid w:val="7D30183F"/>
    <w:rsid w:val="7D3C5169"/>
    <w:rsid w:val="7D425FA3"/>
    <w:rsid w:val="7D4D69B7"/>
    <w:rsid w:val="7D6803E5"/>
    <w:rsid w:val="7D6B778D"/>
    <w:rsid w:val="7DAC0DCF"/>
    <w:rsid w:val="7DC35867"/>
    <w:rsid w:val="7DC73D98"/>
    <w:rsid w:val="7E094C1B"/>
    <w:rsid w:val="7E1D5E37"/>
    <w:rsid w:val="7E331026"/>
    <w:rsid w:val="7E460AC4"/>
    <w:rsid w:val="7E6A130A"/>
    <w:rsid w:val="7E835FD4"/>
    <w:rsid w:val="7EA33FD7"/>
    <w:rsid w:val="7EAD4DFF"/>
    <w:rsid w:val="7ECB3077"/>
    <w:rsid w:val="7EDE32E8"/>
    <w:rsid w:val="7EE60311"/>
    <w:rsid w:val="7EEB4D43"/>
    <w:rsid w:val="7EFF3567"/>
    <w:rsid w:val="7F124E6E"/>
    <w:rsid w:val="7F405270"/>
    <w:rsid w:val="7F865686"/>
    <w:rsid w:val="7FF56FBE"/>
    <w:rsid w:val="7FF92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0" w:semiHidden="0" w:name="annotation reference"/>
    <w:lsdException w:qFormat="1" w:unhideWhenUsed="0" w:uiPriority="0" w:semiHidden="0"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qFormat="1"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560" w:lineRule="exact"/>
      <w:ind w:firstLine="200" w:firstLineChars="200"/>
      <w:jc w:val="both"/>
    </w:pPr>
    <w:rPr>
      <w:rFonts w:ascii="Times New Roman" w:hAnsi="Times New Roman" w:eastAsia="仿宋_GB2312" w:cs="Times New Roman"/>
      <w:sz w:val="32"/>
      <w:szCs w:val="22"/>
      <w:lang w:val="en-US" w:eastAsia="zh-CN" w:bidi="ar-SA"/>
    </w:rPr>
  </w:style>
  <w:style w:type="paragraph" w:styleId="3">
    <w:name w:val="heading 1"/>
    <w:basedOn w:val="1"/>
    <w:next w:val="1"/>
    <w:link w:val="50"/>
    <w:qFormat/>
    <w:uiPriority w:val="9"/>
    <w:pPr>
      <w:keepNext/>
      <w:keepLines/>
      <w:jc w:val="left"/>
      <w:outlineLvl w:val="0"/>
    </w:pPr>
    <w:rPr>
      <w:rFonts w:eastAsia="黑体"/>
      <w:bCs/>
      <w:szCs w:val="28"/>
    </w:rPr>
  </w:style>
  <w:style w:type="paragraph" w:styleId="4">
    <w:name w:val="heading 2"/>
    <w:basedOn w:val="1"/>
    <w:next w:val="1"/>
    <w:link w:val="51"/>
    <w:qFormat/>
    <w:uiPriority w:val="9"/>
    <w:pPr>
      <w:keepNext/>
      <w:keepLines/>
      <w:outlineLvl w:val="1"/>
    </w:pPr>
    <w:rPr>
      <w:rFonts w:eastAsia="楷体_GB2312"/>
      <w:b/>
      <w:bCs/>
      <w:szCs w:val="26"/>
    </w:rPr>
  </w:style>
  <w:style w:type="paragraph" w:styleId="5">
    <w:name w:val="heading 3"/>
    <w:basedOn w:val="1"/>
    <w:next w:val="1"/>
    <w:link w:val="52"/>
    <w:qFormat/>
    <w:uiPriority w:val="9"/>
    <w:pPr>
      <w:keepNext/>
      <w:keepLines/>
      <w:outlineLvl w:val="2"/>
    </w:pPr>
    <w:rPr>
      <w:b/>
      <w:bCs/>
      <w:szCs w:val="20"/>
    </w:rPr>
  </w:style>
  <w:style w:type="paragraph" w:styleId="6">
    <w:name w:val="heading 4"/>
    <w:basedOn w:val="1"/>
    <w:next w:val="1"/>
    <w:link w:val="53"/>
    <w:qFormat/>
    <w:uiPriority w:val="0"/>
    <w:pPr>
      <w:keepNext/>
      <w:keepLines/>
      <w:spacing w:before="200"/>
      <w:outlineLvl w:val="3"/>
    </w:pPr>
    <w:rPr>
      <w:rFonts w:eastAsia="黑体"/>
      <w:b/>
      <w:bCs/>
      <w:i/>
      <w:iCs/>
      <w:color w:val="499BC9"/>
      <w:sz w:val="20"/>
      <w:szCs w:val="20"/>
    </w:rPr>
  </w:style>
  <w:style w:type="paragraph" w:styleId="7">
    <w:name w:val="heading 5"/>
    <w:basedOn w:val="1"/>
    <w:next w:val="1"/>
    <w:link w:val="54"/>
    <w:qFormat/>
    <w:uiPriority w:val="0"/>
    <w:pPr>
      <w:keepNext/>
      <w:keepLines/>
      <w:spacing w:before="200"/>
      <w:outlineLvl w:val="4"/>
    </w:pPr>
    <w:rPr>
      <w:rFonts w:eastAsia="黑体"/>
      <w:color w:val="1F4E69"/>
      <w:sz w:val="20"/>
      <w:szCs w:val="20"/>
    </w:rPr>
  </w:style>
  <w:style w:type="paragraph" w:styleId="8">
    <w:name w:val="heading 6"/>
    <w:basedOn w:val="1"/>
    <w:next w:val="1"/>
    <w:link w:val="55"/>
    <w:qFormat/>
    <w:uiPriority w:val="0"/>
    <w:pPr>
      <w:keepNext/>
      <w:keepLines/>
      <w:spacing w:before="200"/>
      <w:outlineLvl w:val="5"/>
    </w:pPr>
    <w:rPr>
      <w:rFonts w:eastAsia="黑体"/>
      <w:i/>
      <w:iCs/>
      <w:color w:val="1F4E69"/>
      <w:sz w:val="20"/>
      <w:szCs w:val="20"/>
    </w:rPr>
  </w:style>
  <w:style w:type="paragraph" w:styleId="9">
    <w:name w:val="heading 7"/>
    <w:basedOn w:val="1"/>
    <w:next w:val="1"/>
    <w:link w:val="56"/>
    <w:qFormat/>
    <w:uiPriority w:val="0"/>
    <w:pPr>
      <w:keepNext/>
      <w:keepLines/>
      <w:spacing w:before="200"/>
      <w:outlineLvl w:val="6"/>
    </w:pPr>
    <w:rPr>
      <w:rFonts w:eastAsia="黑体"/>
      <w:i/>
      <w:iCs/>
      <w:color w:val="404040"/>
      <w:sz w:val="20"/>
      <w:szCs w:val="20"/>
    </w:rPr>
  </w:style>
  <w:style w:type="paragraph" w:styleId="10">
    <w:name w:val="heading 8"/>
    <w:basedOn w:val="1"/>
    <w:next w:val="1"/>
    <w:link w:val="57"/>
    <w:qFormat/>
    <w:uiPriority w:val="0"/>
    <w:pPr>
      <w:keepNext/>
      <w:keepLines/>
      <w:spacing w:before="200"/>
      <w:outlineLvl w:val="7"/>
    </w:pPr>
    <w:rPr>
      <w:rFonts w:eastAsia="黑体"/>
      <w:color w:val="499BC9"/>
      <w:sz w:val="20"/>
      <w:szCs w:val="20"/>
    </w:rPr>
  </w:style>
  <w:style w:type="paragraph" w:styleId="11">
    <w:name w:val="heading 9"/>
    <w:basedOn w:val="1"/>
    <w:next w:val="1"/>
    <w:link w:val="58"/>
    <w:qFormat/>
    <w:uiPriority w:val="0"/>
    <w:pPr>
      <w:keepNext/>
      <w:keepLines/>
      <w:spacing w:before="200"/>
      <w:outlineLvl w:val="8"/>
    </w:pPr>
    <w:rPr>
      <w:rFonts w:eastAsia="黑体"/>
      <w:i/>
      <w:iCs/>
      <w:color w:val="404040"/>
      <w:sz w:val="20"/>
      <w:szCs w:val="2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12">
    <w:name w:val="toc 7"/>
    <w:basedOn w:val="1"/>
    <w:next w:val="1"/>
    <w:qFormat/>
    <w:uiPriority w:val="0"/>
    <w:pPr>
      <w:widowControl w:val="0"/>
      <w:ind w:left="1680"/>
    </w:pPr>
    <w:rPr>
      <w:kern w:val="2"/>
      <w:sz w:val="18"/>
      <w:szCs w:val="18"/>
    </w:rPr>
  </w:style>
  <w:style w:type="paragraph" w:styleId="13">
    <w:name w:val="caption"/>
    <w:basedOn w:val="1"/>
    <w:next w:val="1"/>
    <w:qFormat/>
    <w:uiPriority w:val="0"/>
    <w:pPr>
      <w:spacing w:line="240" w:lineRule="auto"/>
    </w:pPr>
    <w:rPr>
      <w:b/>
      <w:bCs/>
      <w:color w:val="499BC9"/>
      <w:sz w:val="18"/>
      <w:szCs w:val="18"/>
    </w:rPr>
  </w:style>
  <w:style w:type="paragraph" w:styleId="14">
    <w:name w:val="Document Map"/>
    <w:basedOn w:val="1"/>
    <w:link w:val="59"/>
    <w:unhideWhenUsed/>
    <w:qFormat/>
    <w:uiPriority w:val="99"/>
    <w:pPr>
      <w:spacing w:line="276" w:lineRule="auto"/>
    </w:pPr>
    <w:rPr>
      <w:rFonts w:ascii="宋体" w:eastAsia="宋体"/>
      <w:sz w:val="18"/>
      <w:szCs w:val="18"/>
      <w:lang w:eastAsia="en-US"/>
    </w:rPr>
  </w:style>
  <w:style w:type="paragraph" w:styleId="15">
    <w:name w:val="annotation text"/>
    <w:basedOn w:val="1"/>
    <w:link w:val="60"/>
    <w:unhideWhenUsed/>
    <w:qFormat/>
    <w:uiPriority w:val="0"/>
    <w:rPr>
      <w:rFonts w:eastAsia="宋体"/>
      <w:sz w:val="24"/>
      <w:szCs w:val="24"/>
      <w:lang w:eastAsia="en-US"/>
    </w:rPr>
  </w:style>
  <w:style w:type="paragraph" w:styleId="16">
    <w:name w:val="Body Text"/>
    <w:basedOn w:val="1"/>
    <w:next w:val="1"/>
    <w:link w:val="49"/>
    <w:unhideWhenUsed/>
    <w:qFormat/>
    <w:uiPriority w:val="99"/>
    <w:pPr>
      <w:spacing w:line="276" w:lineRule="auto"/>
    </w:pPr>
    <w:rPr>
      <w:rFonts w:eastAsia="宋体"/>
      <w:sz w:val="20"/>
      <w:szCs w:val="20"/>
      <w:lang w:eastAsia="en-US"/>
    </w:rPr>
  </w:style>
  <w:style w:type="paragraph" w:styleId="17">
    <w:name w:val="Body Text Indent"/>
    <w:basedOn w:val="1"/>
    <w:link w:val="61"/>
    <w:qFormat/>
    <w:uiPriority w:val="0"/>
    <w:pPr>
      <w:widowControl w:val="0"/>
      <w:spacing w:line="240" w:lineRule="auto"/>
      <w:ind w:firstLine="601"/>
    </w:pPr>
    <w:rPr>
      <w:b/>
      <w:bCs/>
      <w:kern w:val="2"/>
      <w:sz w:val="30"/>
      <w:szCs w:val="20"/>
      <w:lang w:eastAsia="en-US"/>
    </w:rPr>
  </w:style>
  <w:style w:type="paragraph" w:styleId="18">
    <w:name w:val="toc 5"/>
    <w:basedOn w:val="1"/>
    <w:next w:val="1"/>
    <w:qFormat/>
    <w:uiPriority w:val="0"/>
    <w:pPr>
      <w:widowControl w:val="0"/>
      <w:ind w:left="1120"/>
    </w:pPr>
    <w:rPr>
      <w:kern w:val="2"/>
      <w:sz w:val="18"/>
      <w:szCs w:val="18"/>
    </w:rPr>
  </w:style>
  <w:style w:type="paragraph" w:styleId="19">
    <w:name w:val="toc 3"/>
    <w:next w:val="1"/>
    <w:qFormat/>
    <w:uiPriority w:val="39"/>
    <w:pPr>
      <w:widowControl w:val="0"/>
      <w:tabs>
        <w:tab w:val="right" w:leader="dot" w:pos="8302"/>
      </w:tabs>
      <w:ind w:left="420" w:firstLine="198"/>
    </w:pPr>
    <w:rPr>
      <w:rFonts w:ascii="Calibri" w:hAnsi="Calibri" w:eastAsia="宋体" w:cs="Calibri"/>
      <w:i/>
      <w:iCs/>
      <w:color w:val="000000"/>
      <w:kern w:val="2"/>
      <w:lang w:val="en-US" w:eastAsia="zh-CN" w:bidi="ar-SA"/>
    </w:rPr>
  </w:style>
  <w:style w:type="paragraph" w:styleId="20">
    <w:name w:val="Plain Text"/>
    <w:basedOn w:val="1"/>
    <w:link w:val="62"/>
    <w:qFormat/>
    <w:uiPriority w:val="0"/>
    <w:pPr>
      <w:spacing w:line="240" w:lineRule="auto"/>
      <w:ind w:firstLine="0"/>
    </w:pPr>
    <w:rPr>
      <w:rFonts w:ascii="宋体" w:hAnsi="Courier New" w:eastAsia="宋体" w:cs="Courier New"/>
      <w:sz w:val="21"/>
      <w:szCs w:val="21"/>
    </w:rPr>
  </w:style>
  <w:style w:type="paragraph" w:styleId="21">
    <w:name w:val="toc 8"/>
    <w:basedOn w:val="1"/>
    <w:next w:val="1"/>
    <w:qFormat/>
    <w:uiPriority w:val="0"/>
    <w:pPr>
      <w:widowControl w:val="0"/>
      <w:ind w:left="1960"/>
    </w:pPr>
    <w:rPr>
      <w:kern w:val="2"/>
      <w:sz w:val="18"/>
      <w:szCs w:val="18"/>
    </w:rPr>
  </w:style>
  <w:style w:type="paragraph" w:styleId="22">
    <w:name w:val="Date"/>
    <w:basedOn w:val="1"/>
    <w:next w:val="1"/>
    <w:link w:val="63"/>
    <w:unhideWhenUsed/>
    <w:qFormat/>
    <w:uiPriority w:val="99"/>
    <w:pPr>
      <w:spacing w:line="276" w:lineRule="auto"/>
      <w:ind w:left="100" w:leftChars="2500"/>
    </w:pPr>
    <w:rPr>
      <w:rFonts w:eastAsia="宋体"/>
      <w:sz w:val="20"/>
      <w:szCs w:val="20"/>
      <w:lang w:eastAsia="en-US"/>
    </w:rPr>
  </w:style>
  <w:style w:type="paragraph" w:styleId="23">
    <w:name w:val="Balloon Text"/>
    <w:basedOn w:val="1"/>
    <w:link w:val="64"/>
    <w:unhideWhenUsed/>
    <w:qFormat/>
    <w:uiPriority w:val="99"/>
    <w:rPr>
      <w:rFonts w:eastAsia="宋体"/>
      <w:sz w:val="18"/>
      <w:szCs w:val="18"/>
      <w:lang w:eastAsia="en-US"/>
    </w:rPr>
  </w:style>
  <w:style w:type="paragraph" w:styleId="24">
    <w:name w:val="footer"/>
    <w:basedOn w:val="1"/>
    <w:link w:val="65"/>
    <w:qFormat/>
    <w:uiPriority w:val="99"/>
    <w:pPr>
      <w:tabs>
        <w:tab w:val="center" w:pos="4153"/>
        <w:tab w:val="right" w:pos="8306"/>
      </w:tabs>
      <w:spacing w:before="50" w:after="50" w:line="360" w:lineRule="auto"/>
      <w:ind w:firstLine="198"/>
    </w:pPr>
    <w:rPr>
      <w:rFonts w:ascii="宋体" w:hAnsi="宋体" w:eastAsia="宋体"/>
      <w:color w:val="000000"/>
      <w:sz w:val="18"/>
      <w:szCs w:val="18"/>
    </w:rPr>
  </w:style>
  <w:style w:type="paragraph" w:styleId="25">
    <w:name w:val="header"/>
    <w:basedOn w:val="1"/>
    <w:link w:val="66"/>
    <w:qFormat/>
    <w:uiPriority w:val="99"/>
    <w:pPr>
      <w:tabs>
        <w:tab w:val="center" w:pos="4153"/>
        <w:tab w:val="right" w:pos="8306"/>
      </w:tabs>
      <w:snapToGrid w:val="0"/>
      <w:spacing w:line="276" w:lineRule="auto"/>
      <w:jc w:val="center"/>
    </w:pPr>
    <w:rPr>
      <w:rFonts w:eastAsia="宋体"/>
      <w:sz w:val="18"/>
      <w:szCs w:val="18"/>
      <w:lang w:eastAsia="en-US"/>
    </w:rPr>
  </w:style>
  <w:style w:type="paragraph" w:styleId="26">
    <w:name w:val="toc 1"/>
    <w:next w:val="1"/>
    <w:qFormat/>
    <w:uiPriority w:val="39"/>
    <w:pPr>
      <w:widowControl w:val="0"/>
      <w:tabs>
        <w:tab w:val="right" w:leader="dot" w:pos="8302"/>
      </w:tabs>
      <w:ind w:firstLine="198"/>
    </w:pPr>
    <w:rPr>
      <w:rFonts w:ascii="Calibri" w:hAnsi="Calibri" w:eastAsia="仿宋_GB2312" w:cs="Calibri"/>
      <w:b/>
      <w:bCs/>
      <w:caps/>
      <w:color w:val="000000"/>
      <w:kern w:val="2"/>
      <w:lang w:val="en-US" w:eastAsia="zh-CN" w:bidi="ar-SA"/>
    </w:rPr>
  </w:style>
  <w:style w:type="paragraph" w:styleId="27">
    <w:name w:val="toc 4"/>
    <w:next w:val="1"/>
    <w:qFormat/>
    <w:uiPriority w:val="0"/>
    <w:pPr>
      <w:ind w:firstLine="198"/>
    </w:pPr>
    <w:rPr>
      <w:rFonts w:ascii="Calibri" w:hAnsi="Calibri" w:eastAsia="宋体" w:cs="Times New Roman"/>
      <w:color w:val="000000"/>
      <w:lang w:val="en-US" w:eastAsia="zh-CN" w:bidi="ar-SA"/>
    </w:rPr>
  </w:style>
  <w:style w:type="paragraph" w:styleId="28">
    <w:name w:val="Subtitle"/>
    <w:basedOn w:val="1"/>
    <w:next w:val="1"/>
    <w:link w:val="67"/>
    <w:qFormat/>
    <w:uiPriority w:val="0"/>
    <w:rPr>
      <w:rFonts w:eastAsia="黑体"/>
      <w:i/>
      <w:iCs/>
      <w:color w:val="499BC9"/>
      <w:spacing w:val="15"/>
      <w:sz w:val="24"/>
      <w:szCs w:val="24"/>
    </w:rPr>
  </w:style>
  <w:style w:type="paragraph" w:styleId="29">
    <w:name w:val="footnote text"/>
    <w:basedOn w:val="1"/>
    <w:link w:val="68"/>
    <w:qFormat/>
    <w:uiPriority w:val="0"/>
    <w:pPr>
      <w:snapToGrid w:val="0"/>
      <w:spacing w:line="276" w:lineRule="auto"/>
    </w:pPr>
    <w:rPr>
      <w:rFonts w:eastAsia="宋体"/>
      <w:sz w:val="18"/>
      <w:szCs w:val="18"/>
      <w:lang w:eastAsia="en-US" w:bidi="en-US"/>
    </w:rPr>
  </w:style>
  <w:style w:type="paragraph" w:styleId="30">
    <w:name w:val="toc 6"/>
    <w:basedOn w:val="1"/>
    <w:next w:val="1"/>
    <w:qFormat/>
    <w:uiPriority w:val="0"/>
    <w:pPr>
      <w:widowControl w:val="0"/>
      <w:ind w:left="1400"/>
    </w:pPr>
    <w:rPr>
      <w:kern w:val="2"/>
      <w:sz w:val="18"/>
      <w:szCs w:val="18"/>
    </w:rPr>
  </w:style>
  <w:style w:type="paragraph" w:styleId="31">
    <w:name w:val="toc 2"/>
    <w:next w:val="1"/>
    <w:qFormat/>
    <w:uiPriority w:val="39"/>
    <w:pPr>
      <w:widowControl w:val="0"/>
      <w:tabs>
        <w:tab w:val="right" w:leader="dot" w:pos="8302"/>
      </w:tabs>
      <w:ind w:left="210" w:firstLine="198"/>
    </w:pPr>
    <w:rPr>
      <w:rFonts w:ascii="Calibri" w:hAnsi="Calibri" w:eastAsia="宋体" w:cs="Calibri"/>
      <w:smallCaps/>
      <w:color w:val="000000"/>
      <w:kern w:val="2"/>
      <w:lang w:val="en-US" w:eastAsia="zh-CN" w:bidi="ar-SA"/>
    </w:rPr>
  </w:style>
  <w:style w:type="paragraph" w:styleId="32">
    <w:name w:val="toc 9"/>
    <w:basedOn w:val="1"/>
    <w:next w:val="1"/>
    <w:qFormat/>
    <w:uiPriority w:val="0"/>
    <w:pPr>
      <w:widowControl w:val="0"/>
      <w:ind w:left="2240"/>
    </w:pPr>
    <w:rPr>
      <w:kern w:val="2"/>
      <w:sz w:val="18"/>
      <w:szCs w:val="18"/>
    </w:rPr>
  </w:style>
  <w:style w:type="paragraph" w:styleId="33">
    <w:name w:val="Body Text 2"/>
    <w:next w:val="16"/>
    <w:unhideWhenUsed/>
    <w:qFormat/>
    <w:uiPriority w:val="99"/>
    <w:pPr>
      <w:spacing w:after="120" w:line="480" w:lineRule="auto"/>
      <w:ind w:firstLine="883" w:firstLineChars="200"/>
      <w:jc w:val="both"/>
    </w:pPr>
    <w:rPr>
      <w:rFonts w:ascii="Times New Roman" w:hAnsi="Times New Roman" w:eastAsia="仿宋_GB2312" w:cs="Times New Roman"/>
      <w:sz w:val="32"/>
      <w:szCs w:val="22"/>
      <w:lang w:val="en-US" w:eastAsia="zh-CN" w:bidi="ar-SA"/>
    </w:rPr>
  </w:style>
  <w:style w:type="paragraph" w:styleId="34">
    <w:name w:val="Normal (Web)"/>
    <w:basedOn w:val="1"/>
    <w:unhideWhenUsed/>
    <w:qFormat/>
    <w:uiPriority w:val="99"/>
    <w:pPr>
      <w:widowControl w:val="0"/>
      <w:spacing w:before="100" w:beforeAutospacing="1" w:after="100" w:afterAutospacing="1" w:line="240" w:lineRule="auto"/>
    </w:pPr>
    <w:rPr>
      <w:rFonts w:eastAsia="宋体"/>
      <w:sz w:val="24"/>
      <w:szCs w:val="20"/>
    </w:rPr>
  </w:style>
  <w:style w:type="paragraph" w:styleId="35">
    <w:name w:val="Title"/>
    <w:basedOn w:val="1"/>
    <w:next w:val="1"/>
    <w:link w:val="69"/>
    <w:qFormat/>
    <w:uiPriority w:val="0"/>
    <w:pPr>
      <w:pBdr>
        <w:bottom w:val="single" w:color="499BC9" w:sz="8" w:space="4"/>
      </w:pBdr>
      <w:spacing w:after="300" w:line="240" w:lineRule="auto"/>
      <w:contextualSpacing/>
    </w:pPr>
    <w:rPr>
      <w:rFonts w:eastAsia="黑体"/>
      <w:color w:val="2F2F2F"/>
      <w:spacing w:val="5"/>
      <w:kern w:val="28"/>
      <w:sz w:val="52"/>
      <w:szCs w:val="52"/>
    </w:rPr>
  </w:style>
  <w:style w:type="paragraph" w:styleId="36">
    <w:name w:val="annotation subject"/>
    <w:basedOn w:val="15"/>
    <w:next w:val="15"/>
    <w:link w:val="70"/>
    <w:unhideWhenUsed/>
    <w:qFormat/>
    <w:uiPriority w:val="99"/>
    <w:rPr>
      <w:rFonts w:eastAsia="仿宋_GB2312"/>
      <w:b/>
      <w:bCs/>
      <w:sz w:val="28"/>
    </w:rPr>
  </w:style>
  <w:style w:type="table" w:styleId="38">
    <w:name w:val="Table Grid"/>
    <w:basedOn w:val="3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0">
    <w:name w:val="Strong"/>
    <w:qFormat/>
    <w:uiPriority w:val="0"/>
    <w:rPr>
      <w:b/>
      <w:bCs/>
    </w:rPr>
  </w:style>
  <w:style w:type="character" w:styleId="41">
    <w:name w:val="page number"/>
    <w:qFormat/>
    <w:uiPriority w:val="0"/>
  </w:style>
  <w:style w:type="character" w:styleId="42">
    <w:name w:val="FollowedHyperlink"/>
    <w:unhideWhenUsed/>
    <w:qFormat/>
    <w:uiPriority w:val="99"/>
    <w:rPr>
      <w:color w:val="FF00FF"/>
      <w:u w:val="single"/>
    </w:rPr>
  </w:style>
  <w:style w:type="character" w:styleId="43">
    <w:name w:val="Emphasis"/>
    <w:qFormat/>
    <w:uiPriority w:val="0"/>
    <w:rPr>
      <w:i/>
      <w:iCs/>
    </w:rPr>
  </w:style>
  <w:style w:type="character" w:styleId="44">
    <w:name w:val="line number"/>
    <w:qFormat/>
    <w:uiPriority w:val="0"/>
  </w:style>
  <w:style w:type="character" w:styleId="45">
    <w:name w:val="Hyperlink"/>
    <w:qFormat/>
    <w:uiPriority w:val="99"/>
    <w:rPr>
      <w:u w:val="single"/>
    </w:rPr>
  </w:style>
  <w:style w:type="character" w:styleId="46">
    <w:name w:val="annotation reference"/>
    <w:unhideWhenUsed/>
    <w:qFormat/>
    <w:uiPriority w:val="0"/>
    <w:rPr>
      <w:sz w:val="21"/>
      <w:szCs w:val="21"/>
    </w:rPr>
  </w:style>
  <w:style w:type="character" w:styleId="47">
    <w:name w:val="footnote reference"/>
    <w:qFormat/>
    <w:uiPriority w:val="0"/>
    <w:rPr>
      <w:vertAlign w:val="superscript"/>
    </w:rPr>
  </w:style>
  <w:style w:type="paragraph" w:customStyle="1" w:styleId="48">
    <w:name w:val="Default"/>
    <w:qFormat/>
    <w:uiPriority w:val="0"/>
    <w:pPr>
      <w:widowControl w:val="0"/>
      <w:autoSpaceDE w:val="0"/>
      <w:autoSpaceDN w:val="0"/>
      <w:adjustRightInd w:val="0"/>
    </w:pPr>
    <w:rPr>
      <w:rFonts w:ascii="仿宋_GB2312" w:hAnsi="Calibri" w:eastAsia="仿宋_GB2312" w:cs="宋体"/>
      <w:color w:val="000000"/>
      <w:sz w:val="24"/>
      <w:szCs w:val="22"/>
      <w:lang w:val="en-US" w:eastAsia="zh-CN" w:bidi="ar-SA"/>
    </w:rPr>
  </w:style>
  <w:style w:type="character" w:customStyle="1" w:styleId="49">
    <w:name w:val="正文文本 字符"/>
    <w:link w:val="16"/>
    <w:qFormat/>
    <w:uiPriority w:val="99"/>
    <w:rPr>
      <w:rFonts w:ascii="Calibri" w:hAnsi="Calibri" w:eastAsia="宋体" w:cs="Times New Roman"/>
      <w:lang w:eastAsia="en-US"/>
    </w:rPr>
  </w:style>
  <w:style w:type="character" w:customStyle="1" w:styleId="50">
    <w:name w:val="标题 1 字符"/>
    <w:link w:val="3"/>
    <w:qFormat/>
    <w:uiPriority w:val="9"/>
    <w:rPr>
      <w:rFonts w:ascii="Helvetica" w:hAnsi="Helvetica" w:eastAsia="黑体" w:cs="Helvetica"/>
      <w:bCs/>
      <w:sz w:val="28"/>
      <w:szCs w:val="28"/>
    </w:rPr>
  </w:style>
  <w:style w:type="character" w:customStyle="1" w:styleId="51">
    <w:name w:val="标题 2 字符"/>
    <w:link w:val="4"/>
    <w:qFormat/>
    <w:uiPriority w:val="9"/>
    <w:rPr>
      <w:rFonts w:ascii="Helvetica" w:hAnsi="Helvetica" w:eastAsia="楷体_GB2312" w:cs="Helvetica"/>
      <w:b/>
      <w:bCs/>
      <w:sz w:val="32"/>
      <w:szCs w:val="26"/>
    </w:rPr>
  </w:style>
  <w:style w:type="character" w:customStyle="1" w:styleId="52">
    <w:name w:val="标题 3 字符"/>
    <w:link w:val="5"/>
    <w:qFormat/>
    <w:uiPriority w:val="9"/>
    <w:rPr>
      <w:rFonts w:ascii="Helvetica" w:hAnsi="Helvetica" w:eastAsia="仿宋_GB2312" w:cs="Helvetica"/>
      <w:b/>
      <w:bCs/>
      <w:sz w:val="28"/>
    </w:rPr>
  </w:style>
  <w:style w:type="character" w:customStyle="1" w:styleId="53">
    <w:name w:val="标题 4 字符"/>
    <w:link w:val="6"/>
    <w:qFormat/>
    <w:uiPriority w:val="0"/>
    <w:rPr>
      <w:rFonts w:ascii="Helvetica" w:hAnsi="Helvetica" w:eastAsia="黑体" w:cs="Helvetica"/>
      <w:b/>
      <w:bCs/>
      <w:i/>
      <w:iCs/>
      <w:color w:val="499BC9"/>
    </w:rPr>
  </w:style>
  <w:style w:type="character" w:customStyle="1" w:styleId="54">
    <w:name w:val="标题 5 字符"/>
    <w:link w:val="7"/>
    <w:qFormat/>
    <w:uiPriority w:val="0"/>
    <w:rPr>
      <w:rFonts w:ascii="Helvetica" w:hAnsi="Helvetica" w:eastAsia="黑体" w:cs="Helvetica"/>
      <w:color w:val="1F4E69"/>
    </w:rPr>
  </w:style>
  <w:style w:type="character" w:customStyle="1" w:styleId="55">
    <w:name w:val="标题 6 字符"/>
    <w:link w:val="8"/>
    <w:qFormat/>
    <w:uiPriority w:val="0"/>
    <w:rPr>
      <w:rFonts w:ascii="Helvetica" w:hAnsi="Helvetica" w:eastAsia="黑体" w:cs="Helvetica"/>
      <w:i/>
      <w:iCs/>
      <w:color w:val="1F4E69"/>
    </w:rPr>
  </w:style>
  <w:style w:type="character" w:customStyle="1" w:styleId="56">
    <w:name w:val="标题 7 字符"/>
    <w:link w:val="9"/>
    <w:qFormat/>
    <w:uiPriority w:val="0"/>
    <w:rPr>
      <w:rFonts w:ascii="Helvetica" w:hAnsi="Helvetica" w:eastAsia="黑体" w:cs="Helvetica"/>
      <w:i/>
      <w:iCs/>
      <w:color w:val="404040"/>
    </w:rPr>
  </w:style>
  <w:style w:type="character" w:customStyle="1" w:styleId="57">
    <w:name w:val="标题 8 字符"/>
    <w:link w:val="10"/>
    <w:qFormat/>
    <w:uiPriority w:val="0"/>
    <w:rPr>
      <w:rFonts w:ascii="Helvetica" w:hAnsi="Helvetica" w:eastAsia="黑体" w:cs="Helvetica"/>
      <w:color w:val="499BC9"/>
      <w:sz w:val="20"/>
      <w:szCs w:val="20"/>
    </w:rPr>
  </w:style>
  <w:style w:type="character" w:customStyle="1" w:styleId="58">
    <w:name w:val="标题 9 字符"/>
    <w:link w:val="11"/>
    <w:qFormat/>
    <w:uiPriority w:val="0"/>
    <w:rPr>
      <w:rFonts w:ascii="Helvetica" w:hAnsi="Helvetica" w:eastAsia="黑体" w:cs="Helvetica"/>
      <w:i/>
      <w:iCs/>
      <w:color w:val="404040"/>
      <w:sz w:val="20"/>
      <w:szCs w:val="20"/>
    </w:rPr>
  </w:style>
  <w:style w:type="character" w:customStyle="1" w:styleId="59">
    <w:name w:val="文档结构图 字符"/>
    <w:link w:val="14"/>
    <w:qFormat/>
    <w:uiPriority w:val="99"/>
    <w:rPr>
      <w:rFonts w:ascii="宋体" w:hAnsi="Calibri" w:eastAsia="宋体" w:cs="Times New Roman"/>
      <w:sz w:val="18"/>
      <w:szCs w:val="18"/>
      <w:lang w:eastAsia="en-US"/>
    </w:rPr>
  </w:style>
  <w:style w:type="character" w:customStyle="1" w:styleId="60">
    <w:name w:val="批注文字 字符"/>
    <w:link w:val="15"/>
    <w:qFormat/>
    <w:uiPriority w:val="0"/>
    <w:rPr>
      <w:sz w:val="24"/>
      <w:szCs w:val="24"/>
      <w:lang w:eastAsia="en-US"/>
    </w:rPr>
  </w:style>
  <w:style w:type="character" w:customStyle="1" w:styleId="61">
    <w:name w:val="正文文本缩进 字符"/>
    <w:link w:val="17"/>
    <w:qFormat/>
    <w:uiPriority w:val="0"/>
    <w:rPr>
      <w:rFonts w:ascii="Times New Roman" w:hAnsi="Times New Roman" w:eastAsia="仿宋_GB2312" w:cs="Times New Roman"/>
      <w:b/>
      <w:bCs/>
      <w:kern w:val="2"/>
      <w:sz w:val="30"/>
      <w:szCs w:val="20"/>
      <w:lang w:eastAsia="en-US"/>
    </w:rPr>
  </w:style>
  <w:style w:type="character" w:customStyle="1" w:styleId="62">
    <w:name w:val="纯文本 字符"/>
    <w:link w:val="20"/>
    <w:qFormat/>
    <w:uiPriority w:val="0"/>
    <w:rPr>
      <w:rFonts w:ascii="宋体" w:hAnsi="Courier New" w:cs="Courier New"/>
      <w:sz w:val="21"/>
      <w:szCs w:val="21"/>
    </w:rPr>
  </w:style>
  <w:style w:type="character" w:customStyle="1" w:styleId="63">
    <w:name w:val="日期 字符"/>
    <w:link w:val="22"/>
    <w:qFormat/>
    <w:uiPriority w:val="99"/>
    <w:rPr>
      <w:rFonts w:ascii="Calibri" w:hAnsi="Calibri" w:eastAsia="宋体" w:cs="Times New Roman"/>
      <w:lang w:eastAsia="en-US"/>
    </w:rPr>
  </w:style>
  <w:style w:type="character" w:customStyle="1" w:styleId="64">
    <w:name w:val="批注框文本 字符"/>
    <w:link w:val="23"/>
    <w:qFormat/>
    <w:uiPriority w:val="99"/>
    <w:rPr>
      <w:sz w:val="18"/>
      <w:szCs w:val="18"/>
      <w:lang w:eastAsia="en-US"/>
    </w:rPr>
  </w:style>
  <w:style w:type="character" w:customStyle="1" w:styleId="65">
    <w:name w:val="页脚 字符1"/>
    <w:link w:val="24"/>
    <w:qFormat/>
    <w:uiPriority w:val="99"/>
    <w:rPr>
      <w:rFonts w:ascii="宋体" w:hAnsi="宋体" w:cs="Times New Roman"/>
      <w:color w:val="000000"/>
      <w:sz w:val="18"/>
      <w:szCs w:val="18"/>
      <w:u w:val="none" w:color="000000"/>
      <w:lang w:bidi="ar-SA"/>
    </w:rPr>
  </w:style>
  <w:style w:type="character" w:customStyle="1" w:styleId="66">
    <w:name w:val="页眉 字符1"/>
    <w:link w:val="25"/>
    <w:qFormat/>
    <w:uiPriority w:val="99"/>
    <w:rPr>
      <w:sz w:val="18"/>
      <w:szCs w:val="18"/>
      <w:lang w:eastAsia="en-US"/>
    </w:rPr>
  </w:style>
  <w:style w:type="character" w:customStyle="1" w:styleId="67">
    <w:name w:val="副标题 字符"/>
    <w:link w:val="28"/>
    <w:qFormat/>
    <w:uiPriority w:val="0"/>
    <w:rPr>
      <w:rFonts w:ascii="Helvetica" w:hAnsi="Helvetica" w:eastAsia="黑体" w:cs="Helvetica"/>
      <w:i/>
      <w:iCs/>
      <w:color w:val="499BC9"/>
      <w:spacing w:val="15"/>
      <w:sz w:val="24"/>
      <w:szCs w:val="24"/>
    </w:rPr>
  </w:style>
  <w:style w:type="character" w:customStyle="1" w:styleId="68">
    <w:name w:val="脚注文本 字符"/>
    <w:link w:val="29"/>
    <w:qFormat/>
    <w:uiPriority w:val="0"/>
    <w:rPr>
      <w:sz w:val="18"/>
      <w:szCs w:val="18"/>
      <w:lang w:eastAsia="en-US" w:bidi="en-US"/>
    </w:rPr>
  </w:style>
  <w:style w:type="character" w:customStyle="1" w:styleId="69">
    <w:name w:val="标题 字符"/>
    <w:link w:val="35"/>
    <w:qFormat/>
    <w:uiPriority w:val="0"/>
    <w:rPr>
      <w:rFonts w:ascii="Helvetica" w:hAnsi="Helvetica" w:eastAsia="黑体" w:cs="Helvetica"/>
      <w:color w:val="2F2F2F"/>
      <w:spacing w:val="5"/>
      <w:kern w:val="28"/>
      <w:sz w:val="52"/>
      <w:szCs w:val="52"/>
    </w:rPr>
  </w:style>
  <w:style w:type="character" w:customStyle="1" w:styleId="70">
    <w:name w:val="批注主题 字符"/>
    <w:link w:val="36"/>
    <w:qFormat/>
    <w:uiPriority w:val="99"/>
    <w:rPr>
      <w:rFonts w:eastAsia="仿宋_GB2312"/>
      <w:b/>
      <w:bCs/>
      <w:sz w:val="28"/>
      <w:szCs w:val="24"/>
      <w:lang w:eastAsia="en-US"/>
    </w:rPr>
  </w:style>
  <w:style w:type="character" w:customStyle="1" w:styleId="71">
    <w:name w:val="font71"/>
    <w:qFormat/>
    <w:uiPriority w:val="0"/>
    <w:rPr>
      <w:rFonts w:hint="default" w:ascii="Times New Roman" w:hAnsi="Times New Roman" w:cs="Times New Roman"/>
      <w:color w:val="000000"/>
      <w:sz w:val="22"/>
      <w:szCs w:val="22"/>
      <w:u w:val="none"/>
    </w:rPr>
  </w:style>
  <w:style w:type="character" w:customStyle="1" w:styleId="72">
    <w:name w:val="_Style 115"/>
    <w:qFormat/>
    <w:uiPriority w:val="19"/>
    <w:rPr>
      <w:i/>
      <w:iCs/>
      <w:color w:val="808080"/>
    </w:rPr>
  </w:style>
  <w:style w:type="character" w:customStyle="1" w:styleId="73">
    <w:name w:val="不明显参考2"/>
    <w:qFormat/>
    <w:uiPriority w:val="31"/>
    <w:rPr>
      <w:smallCaps/>
      <w:color w:val="6EC038"/>
      <w:u w:val="single"/>
    </w:rPr>
  </w:style>
  <w:style w:type="character" w:customStyle="1" w:styleId="74">
    <w:name w:val="页眉 字符"/>
    <w:qFormat/>
    <w:uiPriority w:val="99"/>
  </w:style>
  <w:style w:type="character" w:customStyle="1" w:styleId="75">
    <w:name w:val="font11"/>
    <w:qFormat/>
    <w:uiPriority w:val="0"/>
    <w:rPr>
      <w:rFonts w:hint="eastAsia" w:ascii="仿宋" w:hAnsi="仿宋" w:eastAsia="仿宋" w:cs="仿宋"/>
      <w:b/>
      <w:bCs/>
      <w:color w:val="000000"/>
      <w:sz w:val="22"/>
      <w:szCs w:val="22"/>
      <w:u w:val="none"/>
    </w:rPr>
  </w:style>
  <w:style w:type="character" w:customStyle="1" w:styleId="76">
    <w:name w:val="脚注文本 字符1"/>
    <w:semiHidden/>
    <w:qFormat/>
    <w:uiPriority w:val="99"/>
    <w:rPr>
      <w:rFonts w:ascii="Times New Roman" w:hAnsi="Times New Roman" w:eastAsia="仿宋_GB2312" w:cs="Times New Roman"/>
      <w:color w:val="000000"/>
      <w:sz w:val="18"/>
      <w:szCs w:val="18"/>
    </w:rPr>
  </w:style>
  <w:style w:type="character" w:customStyle="1" w:styleId="77">
    <w:name w:val="4级标题 Char"/>
    <w:link w:val="78"/>
    <w:qFormat/>
    <w:uiPriority w:val="0"/>
    <w:rPr>
      <w:rFonts w:ascii="仿宋_GB2312" w:hAnsi="宋体" w:eastAsia="仿宋_GB2312" w:cs="Times New Roman"/>
      <w:b/>
      <w:kern w:val="2"/>
      <w:sz w:val="28"/>
      <w:szCs w:val="28"/>
      <w:lang w:eastAsia="en-US"/>
    </w:rPr>
  </w:style>
  <w:style w:type="paragraph" w:customStyle="1" w:styleId="78">
    <w:name w:val="4级标题"/>
    <w:basedOn w:val="1"/>
    <w:link w:val="77"/>
    <w:qFormat/>
    <w:uiPriority w:val="0"/>
    <w:pPr>
      <w:widowControl w:val="0"/>
      <w:snapToGrid w:val="0"/>
      <w:outlineLvl w:val="1"/>
    </w:pPr>
    <w:rPr>
      <w:rFonts w:ascii="仿宋_GB2312" w:hAnsi="宋体"/>
      <w:b/>
      <w:kern w:val="2"/>
      <w:szCs w:val="28"/>
      <w:lang w:eastAsia="en-US"/>
    </w:rPr>
  </w:style>
  <w:style w:type="character" w:customStyle="1" w:styleId="79">
    <w:name w:val="明显引用 Char1"/>
    <w:qFormat/>
    <w:uiPriority w:val="30"/>
    <w:rPr>
      <w:rFonts w:ascii="Calibri" w:hAnsi="Calibri"/>
      <w:b/>
      <w:bCs/>
      <w:i/>
      <w:iCs/>
      <w:color w:val="499BC9"/>
      <w:sz w:val="22"/>
      <w:szCs w:val="22"/>
      <w:lang w:eastAsia="en-US"/>
    </w:rPr>
  </w:style>
  <w:style w:type="character" w:customStyle="1" w:styleId="80">
    <w:name w:val="书籍标题1"/>
    <w:qFormat/>
    <w:uiPriority w:val="0"/>
    <w:rPr>
      <w:i/>
      <w:iCs/>
      <w:smallCaps/>
      <w:spacing w:val="5"/>
    </w:rPr>
  </w:style>
  <w:style w:type="character" w:customStyle="1" w:styleId="81">
    <w:name w:val="font61"/>
    <w:qFormat/>
    <w:uiPriority w:val="0"/>
    <w:rPr>
      <w:rFonts w:hint="default" w:ascii="Calibri" w:hAnsi="Calibri" w:cs="Calibri"/>
      <w:color w:val="000000"/>
      <w:sz w:val="18"/>
      <w:szCs w:val="18"/>
      <w:u w:val="none"/>
    </w:rPr>
  </w:style>
  <w:style w:type="character" w:customStyle="1" w:styleId="82">
    <w:name w:val="标题 6 Char1"/>
    <w:semiHidden/>
    <w:qFormat/>
    <w:uiPriority w:val="9"/>
    <w:rPr>
      <w:rFonts w:ascii="Helvetica" w:hAnsi="Helvetica" w:eastAsia="黑体" w:cs="Helvetica"/>
      <w:b/>
      <w:bCs/>
      <w:sz w:val="24"/>
      <w:szCs w:val="24"/>
      <w:lang w:eastAsia="en-US"/>
    </w:rPr>
  </w:style>
  <w:style w:type="character" w:customStyle="1" w:styleId="83">
    <w:name w:val="明显强调2"/>
    <w:qFormat/>
    <w:uiPriority w:val="21"/>
    <w:rPr>
      <w:b/>
      <w:bCs/>
      <w:i/>
      <w:iCs/>
      <w:color w:val="499BC9"/>
    </w:rPr>
  </w:style>
  <w:style w:type="character" w:customStyle="1" w:styleId="84">
    <w:name w:val="标题 7 Char1"/>
    <w:semiHidden/>
    <w:qFormat/>
    <w:uiPriority w:val="9"/>
    <w:rPr>
      <w:rFonts w:ascii="Calibri" w:hAnsi="Calibri"/>
      <w:b/>
      <w:bCs/>
      <w:sz w:val="24"/>
      <w:szCs w:val="24"/>
      <w:lang w:eastAsia="en-US"/>
    </w:rPr>
  </w:style>
  <w:style w:type="character" w:customStyle="1" w:styleId="85">
    <w:name w:val="列出段落 字符"/>
    <w:link w:val="86"/>
    <w:qFormat/>
    <w:uiPriority w:val="34"/>
    <w:rPr>
      <w:rFonts w:ascii="Calibri" w:hAnsi="Calibri" w:eastAsia="仿宋_GB2312"/>
      <w:sz w:val="28"/>
      <w:szCs w:val="22"/>
    </w:rPr>
  </w:style>
  <w:style w:type="paragraph" w:styleId="86">
    <w:name w:val="List Paragraph"/>
    <w:basedOn w:val="1"/>
    <w:link w:val="85"/>
    <w:qFormat/>
    <w:uiPriority w:val="34"/>
    <w:pPr>
      <w:ind w:left="720"/>
      <w:contextualSpacing/>
    </w:pPr>
  </w:style>
  <w:style w:type="character" w:customStyle="1" w:styleId="87">
    <w:name w:val="不明显强调1"/>
    <w:qFormat/>
    <w:uiPriority w:val="19"/>
    <w:rPr>
      <w:i/>
      <w:iCs/>
    </w:rPr>
  </w:style>
  <w:style w:type="character" w:customStyle="1" w:styleId="88">
    <w:name w:val="标题2 Char"/>
    <w:link w:val="89"/>
    <w:qFormat/>
    <w:uiPriority w:val="0"/>
    <w:rPr>
      <w:rFonts w:ascii="仿宋_GB2312" w:hAnsi="仿宋_GB2312" w:eastAsia="仿宋_GB2312" w:cs="Times New Roman"/>
      <w:b/>
      <w:bCs/>
      <w:color w:val="000000"/>
      <w:kern w:val="2"/>
      <w:sz w:val="28"/>
      <w:szCs w:val="28"/>
      <w:u w:val="none" w:color="000000"/>
      <w:lang w:bidi="ar-SA"/>
    </w:rPr>
  </w:style>
  <w:style w:type="paragraph" w:customStyle="1" w:styleId="89">
    <w:name w:val="标题2"/>
    <w:link w:val="88"/>
    <w:qFormat/>
    <w:uiPriority w:val="0"/>
    <w:pPr>
      <w:widowControl w:val="0"/>
      <w:spacing w:before="50" w:after="50" w:line="360" w:lineRule="auto"/>
      <w:ind w:firstLine="198"/>
      <w:outlineLvl w:val="3"/>
    </w:pPr>
    <w:rPr>
      <w:rFonts w:ascii="仿宋_GB2312" w:hAnsi="仿宋_GB2312" w:eastAsia="仿宋_GB2312" w:cs="Times New Roman"/>
      <w:b/>
      <w:bCs/>
      <w:color w:val="000000"/>
      <w:kern w:val="2"/>
      <w:sz w:val="28"/>
      <w:szCs w:val="28"/>
      <w:lang w:val="en-US" w:eastAsia="zh-CN" w:bidi="ar-SA"/>
    </w:rPr>
  </w:style>
  <w:style w:type="character" w:customStyle="1" w:styleId="90">
    <w:name w:val="不明显参考1"/>
    <w:qFormat/>
    <w:uiPriority w:val="0"/>
    <w:rPr>
      <w:smallCaps/>
    </w:rPr>
  </w:style>
  <w:style w:type="character" w:customStyle="1" w:styleId="91">
    <w:name w:val="_Style 103"/>
    <w:qFormat/>
    <w:uiPriority w:val="21"/>
    <w:rPr>
      <w:b/>
      <w:bCs/>
      <w:i/>
      <w:iCs/>
      <w:color w:val="499BC9"/>
    </w:rPr>
  </w:style>
  <w:style w:type="character" w:customStyle="1" w:styleId="92">
    <w:name w:val="正文文本 字符1"/>
    <w:qFormat/>
    <w:uiPriority w:val="99"/>
    <w:rPr>
      <w:rFonts w:hint="eastAsia" w:ascii="仿宋_GB2312" w:eastAsia="仿宋_GB2312" w:cs="仿宋_GB2312"/>
      <w:sz w:val="28"/>
      <w:szCs w:val="22"/>
    </w:rPr>
  </w:style>
  <w:style w:type="character" w:customStyle="1" w:styleId="93">
    <w:name w:val="文档结构图 字符1"/>
    <w:semiHidden/>
    <w:qFormat/>
    <w:uiPriority w:val="99"/>
    <w:rPr>
      <w:rFonts w:ascii="Microsoft YaHei UI" w:hAnsi="Times New Roman" w:eastAsia="Microsoft YaHei UI" w:cs="Times New Roman"/>
      <w:color w:val="000000"/>
      <w:sz w:val="18"/>
      <w:szCs w:val="18"/>
    </w:rPr>
  </w:style>
  <w:style w:type="character" w:customStyle="1" w:styleId="94">
    <w:name w:val="引用 字符1"/>
    <w:qFormat/>
    <w:uiPriority w:val="29"/>
    <w:rPr>
      <w:rFonts w:ascii="Times New Roman" w:hAnsi="Times New Roman" w:eastAsia="仿宋_GB2312" w:cs="Times New Roman"/>
      <w:i/>
      <w:iCs/>
      <w:color w:val="404040"/>
      <w:sz w:val="28"/>
      <w:szCs w:val="21"/>
    </w:rPr>
  </w:style>
  <w:style w:type="character" w:customStyle="1" w:styleId="95">
    <w:name w:val="标题2 Char Char"/>
    <w:qFormat/>
    <w:uiPriority w:val="0"/>
    <w:rPr>
      <w:rFonts w:ascii="仿宋_GB2312" w:hAnsi="宋体" w:eastAsia="仿宋_GB2312"/>
      <w:b/>
      <w:kern w:val="2"/>
      <w:sz w:val="28"/>
      <w:szCs w:val="28"/>
      <w:lang w:val="en-US" w:eastAsia="zh-CN"/>
    </w:rPr>
  </w:style>
  <w:style w:type="character" w:customStyle="1" w:styleId="96">
    <w:name w:val="font21"/>
    <w:qFormat/>
    <w:uiPriority w:val="0"/>
    <w:rPr>
      <w:rFonts w:hint="eastAsia" w:ascii="等线" w:hAnsi="等线" w:eastAsia="等线" w:cs="等线"/>
      <w:color w:val="000000"/>
      <w:sz w:val="22"/>
      <w:szCs w:val="22"/>
      <w:u w:val="none"/>
    </w:rPr>
  </w:style>
  <w:style w:type="character" w:customStyle="1" w:styleId="97">
    <w:name w:val="明显参考1"/>
    <w:qFormat/>
    <w:uiPriority w:val="32"/>
    <w:rPr>
      <w:smallCaps/>
      <w:spacing w:val="5"/>
      <w:u w:val="single"/>
    </w:rPr>
  </w:style>
  <w:style w:type="character" w:customStyle="1" w:styleId="98">
    <w:name w:val="明显参考11"/>
    <w:qFormat/>
    <w:uiPriority w:val="0"/>
    <w:rPr>
      <w:smallCaps/>
      <w:spacing w:val="5"/>
      <w:u w:val="single"/>
    </w:rPr>
  </w:style>
  <w:style w:type="character" w:customStyle="1" w:styleId="99">
    <w:name w:val="引用 Char1"/>
    <w:qFormat/>
    <w:uiPriority w:val="29"/>
    <w:rPr>
      <w:rFonts w:ascii="Calibri" w:hAnsi="Calibri"/>
      <w:i/>
      <w:iCs/>
      <w:color w:val="000000"/>
      <w:sz w:val="22"/>
      <w:szCs w:val="22"/>
      <w:lang w:eastAsia="en-US"/>
    </w:rPr>
  </w:style>
  <w:style w:type="character" w:customStyle="1" w:styleId="100">
    <w:name w:val="_Style 128"/>
    <w:qFormat/>
    <w:uiPriority w:val="32"/>
    <w:rPr>
      <w:b/>
      <w:bCs/>
      <w:smallCaps/>
      <w:color w:val="6EC038"/>
      <w:spacing w:val="5"/>
      <w:u w:val="single"/>
    </w:rPr>
  </w:style>
  <w:style w:type="character" w:customStyle="1" w:styleId="101">
    <w:name w:val="标题1 Char"/>
    <w:link w:val="102"/>
    <w:qFormat/>
    <w:uiPriority w:val="0"/>
    <w:rPr>
      <w:rFonts w:ascii="黑体" w:hAnsi="黑体" w:eastAsia="黑体" w:cs="Times New Roman"/>
      <w:color w:val="000000"/>
      <w:kern w:val="2"/>
      <w:sz w:val="28"/>
      <w:szCs w:val="28"/>
      <w:u w:val="none" w:color="000000"/>
      <w:lang w:val="zh-TW" w:eastAsia="zh-TW" w:bidi="ar-SA"/>
    </w:rPr>
  </w:style>
  <w:style w:type="paragraph" w:customStyle="1" w:styleId="102">
    <w:name w:val="标题1"/>
    <w:link w:val="101"/>
    <w:qFormat/>
    <w:uiPriority w:val="0"/>
    <w:pPr>
      <w:widowControl w:val="0"/>
      <w:spacing w:before="50" w:after="50" w:line="360" w:lineRule="auto"/>
      <w:ind w:firstLine="198"/>
    </w:pPr>
    <w:rPr>
      <w:rFonts w:ascii="黑体" w:hAnsi="黑体" w:eastAsia="黑体" w:cs="Times New Roman"/>
      <w:color w:val="000000"/>
      <w:kern w:val="2"/>
      <w:sz w:val="28"/>
      <w:szCs w:val="28"/>
      <w:lang w:val="zh-TW" w:eastAsia="zh-TW" w:bidi="ar-SA"/>
    </w:rPr>
  </w:style>
  <w:style w:type="character" w:customStyle="1" w:styleId="103">
    <w:name w:val="页码1"/>
    <w:qFormat/>
    <w:uiPriority w:val="0"/>
  </w:style>
  <w:style w:type="character" w:customStyle="1" w:styleId="104">
    <w:name w:val="标题 Char1"/>
    <w:qFormat/>
    <w:uiPriority w:val="10"/>
    <w:rPr>
      <w:rFonts w:ascii="Helvetica" w:hAnsi="Helvetica" w:cs="Helvetica"/>
      <w:b/>
      <w:bCs/>
      <w:sz w:val="32"/>
      <w:szCs w:val="32"/>
      <w:lang w:eastAsia="en-US"/>
    </w:rPr>
  </w:style>
  <w:style w:type="character" w:customStyle="1" w:styleId="105">
    <w:name w:val="标题 5 Char1"/>
    <w:semiHidden/>
    <w:qFormat/>
    <w:uiPriority w:val="9"/>
    <w:rPr>
      <w:rFonts w:ascii="Calibri" w:hAnsi="Calibri"/>
      <w:b/>
      <w:bCs/>
      <w:sz w:val="28"/>
      <w:szCs w:val="28"/>
      <w:lang w:eastAsia="en-US"/>
    </w:rPr>
  </w:style>
  <w:style w:type="character" w:customStyle="1" w:styleId="106">
    <w:name w:val="正文文本缩进 字符1"/>
    <w:semiHidden/>
    <w:qFormat/>
    <w:uiPriority w:val="99"/>
    <w:rPr>
      <w:rFonts w:ascii="Times New Roman" w:hAnsi="Times New Roman" w:eastAsia="仿宋_GB2312" w:cs="Times New Roman"/>
      <w:color w:val="000000"/>
      <w:sz w:val="28"/>
      <w:szCs w:val="21"/>
    </w:rPr>
  </w:style>
  <w:style w:type="character" w:customStyle="1" w:styleId="107">
    <w:name w:val="4级标题 Char Char"/>
    <w:qFormat/>
    <w:uiPriority w:val="0"/>
    <w:rPr>
      <w:rFonts w:ascii="仿宋_GB2312" w:hAnsi="宋体" w:eastAsia="仿宋_GB2312"/>
      <w:b/>
      <w:kern w:val="2"/>
      <w:sz w:val="28"/>
      <w:szCs w:val="28"/>
      <w:lang w:val="en-US" w:eastAsia="zh-CN"/>
    </w:rPr>
  </w:style>
  <w:style w:type="character" w:customStyle="1" w:styleId="108">
    <w:name w:val="引用 字符"/>
    <w:link w:val="109"/>
    <w:qFormat/>
    <w:uiPriority w:val="0"/>
    <w:rPr>
      <w:i/>
      <w:iCs/>
      <w:color w:val="000000"/>
    </w:rPr>
  </w:style>
  <w:style w:type="paragraph" w:styleId="109">
    <w:name w:val="Quote"/>
    <w:basedOn w:val="1"/>
    <w:next w:val="1"/>
    <w:link w:val="108"/>
    <w:qFormat/>
    <w:uiPriority w:val="0"/>
    <w:rPr>
      <w:rFonts w:eastAsia="宋体"/>
      <w:i/>
      <w:iCs/>
      <w:color w:val="000000"/>
      <w:sz w:val="20"/>
      <w:szCs w:val="20"/>
    </w:rPr>
  </w:style>
  <w:style w:type="character" w:customStyle="1" w:styleId="110">
    <w:name w:val="明显强调1"/>
    <w:qFormat/>
    <w:uiPriority w:val="0"/>
    <w:rPr>
      <w:b/>
      <w:bCs/>
    </w:rPr>
  </w:style>
  <w:style w:type="character" w:customStyle="1" w:styleId="111">
    <w:name w:val="批注主题 字符1"/>
    <w:semiHidden/>
    <w:qFormat/>
    <w:uiPriority w:val="99"/>
    <w:rPr>
      <w:rFonts w:ascii="Times New Roman" w:hAnsi="Times New Roman" w:eastAsia="仿宋_GB2312" w:cs="Times New Roman"/>
      <w:b/>
      <w:bCs/>
      <w:color w:val="000000"/>
      <w:sz w:val="28"/>
      <w:szCs w:val="21"/>
    </w:rPr>
  </w:style>
  <w:style w:type="character" w:customStyle="1" w:styleId="112">
    <w:name w:val="标题 9 Char1"/>
    <w:semiHidden/>
    <w:qFormat/>
    <w:uiPriority w:val="9"/>
    <w:rPr>
      <w:rFonts w:ascii="Helvetica" w:hAnsi="Helvetica" w:eastAsia="黑体" w:cs="Helvetica"/>
      <w:sz w:val="21"/>
      <w:szCs w:val="21"/>
      <w:lang w:eastAsia="en-US"/>
    </w:rPr>
  </w:style>
  <w:style w:type="character" w:customStyle="1" w:styleId="113">
    <w:name w:val="apple-style-span"/>
    <w:qFormat/>
    <w:uiPriority w:val="0"/>
  </w:style>
  <w:style w:type="character" w:customStyle="1" w:styleId="114">
    <w:name w:val="标题 8 Char1"/>
    <w:semiHidden/>
    <w:qFormat/>
    <w:uiPriority w:val="9"/>
    <w:rPr>
      <w:rFonts w:ascii="Helvetica" w:hAnsi="Helvetica" w:eastAsia="黑体" w:cs="Helvetica"/>
      <w:sz w:val="24"/>
      <w:szCs w:val="24"/>
      <w:lang w:eastAsia="en-US"/>
    </w:rPr>
  </w:style>
  <w:style w:type="character" w:customStyle="1" w:styleId="115">
    <w:name w:val="闻政标题3 Char"/>
    <w:link w:val="116"/>
    <w:qFormat/>
    <w:uiPriority w:val="0"/>
    <w:rPr>
      <w:rFonts w:ascii="黑体" w:hAnsi="黑体" w:eastAsia="黑体"/>
      <w:bCs/>
      <w:sz w:val="32"/>
      <w:szCs w:val="32"/>
    </w:rPr>
  </w:style>
  <w:style w:type="paragraph" w:customStyle="1" w:styleId="116">
    <w:name w:val="闻政标题3"/>
    <w:basedOn w:val="5"/>
    <w:link w:val="115"/>
    <w:qFormat/>
    <w:uiPriority w:val="0"/>
    <w:pPr>
      <w:widowControl w:val="0"/>
      <w:spacing w:before="120" w:after="60" w:line="500" w:lineRule="exact"/>
      <w:ind w:firstLine="0" w:firstLineChars="0"/>
      <w:outlineLvl w:val="0"/>
    </w:pPr>
    <w:rPr>
      <w:rFonts w:ascii="黑体" w:hAnsi="黑体" w:eastAsia="黑体"/>
      <w:b w:val="0"/>
      <w:szCs w:val="32"/>
    </w:rPr>
  </w:style>
  <w:style w:type="character" w:customStyle="1" w:styleId="117">
    <w:name w:val="批注文字 字符1"/>
    <w:semiHidden/>
    <w:qFormat/>
    <w:uiPriority w:val="99"/>
    <w:rPr>
      <w:rFonts w:ascii="Times New Roman" w:hAnsi="Times New Roman" w:eastAsia="仿宋_GB2312" w:cs="Times New Roman"/>
      <w:color w:val="000000"/>
      <w:sz w:val="28"/>
      <w:szCs w:val="21"/>
    </w:rPr>
  </w:style>
  <w:style w:type="character" w:customStyle="1" w:styleId="118">
    <w:name w:val="副标题 Char1"/>
    <w:qFormat/>
    <w:uiPriority w:val="11"/>
    <w:rPr>
      <w:rFonts w:ascii="Helvetica" w:hAnsi="Helvetica" w:cs="Helvetica"/>
      <w:b/>
      <w:bCs/>
      <w:kern w:val="28"/>
      <w:sz w:val="32"/>
      <w:szCs w:val="32"/>
      <w:lang w:eastAsia="en-US"/>
    </w:rPr>
  </w:style>
  <w:style w:type="character" w:customStyle="1" w:styleId="119">
    <w:name w:val="副标题 字符1"/>
    <w:qFormat/>
    <w:uiPriority w:val="11"/>
    <w:rPr>
      <w:b/>
      <w:bCs/>
      <w:color w:val="000000"/>
      <w:kern w:val="28"/>
      <w:sz w:val="32"/>
      <w:szCs w:val="32"/>
    </w:rPr>
  </w:style>
  <w:style w:type="character" w:customStyle="1" w:styleId="120">
    <w:name w:val="页脚 字符"/>
    <w:qFormat/>
    <w:uiPriority w:val="99"/>
  </w:style>
  <w:style w:type="character" w:customStyle="1" w:styleId="121">
    <w:name w:val="不明显强调11"/>
    <w:qFormat/>
    <w:uiPriority w:val="0"/>
    <w:rPr>
      <w:i/>
      <w:iCs/>
    </w:rPr>
  </w:style>
  <w:style w:type="character" w:customStyle="1" w:styleId="122">
    <w:name w:val="脚注文本 Char1"/>
    <w:semiHidden/>
    <w:qFormat/>
    <w:uiPriority w:val="99"/>
    <w:rPr>
      <w:rFonts w:eastAsia="仿宋_GB2312"/>
      <w:sz w:val="18"/>
      <w:szCs w:val="18"/>
    </w:rPr>
  </w:style>
  <w:style w:type="character" w:customStyle="1" w:styleId="123">
    <w:name w:val="font01"/>
    <w:qFormat/>
    <w:uiPriority w:val="0"/>
    <w:rPr>
      <w:rFonts w:hint="eastAsia" w:ascii="等线" w:hAnsi="等线" w:eastAsia="等线" w:cs="等线"/>
      <w:b/>
      <w:color w:val="000000"/>
      <w:sz w:val="22"/>
      <w:szCs w:val="22"/>
      <w:u w:val="none"/>
    </w:rPr>
  </w:style>
  <w:style w:type="character" w:customStyle="1" w:styleId="124">
    <w:name w:val="明显引用 字符"/>
    <w:link w:val="125"/>
    <w:qFormat/>
    <w:uiPriority w:val="0"/>
    <w:rPr>
      <w:b/>
      <w:bCs/>
      <w:i/>
      <w:iCs/>
      <w:color w:val="499BC9"/>
    </w:rPr>
  </w:style>
  <w:style w:type="paragraph" w:styleId="125">
    <w:name w:val="Intense Quote"/>
    <w:basedOn w:val="1"/>
    <w:next w:val="1"/>
    <w:link w:val="124"/>
    <w:qFormat/>
    <w:uiPriority w:val="0"/>
    <w:pPr>
      <w:pBdr>
        <w:bottom w:val="single" w:color="499BC9" w:sz="4" w:space="4"/>
      </w:pBdr>
      <w:spacing w:before="200" w:after="280"/>
      <w:ind w:left="936" w:right="936"/>
    </w:pPr>
    <w:rPr>
      <w:rFonts w:eastAsia="宋体"/>
      <w:b/>
      <w:bCs/>
      <w:i/>
      <w:iCs/>
      <w:color w:val="499BC9"/>
      <w:sz w:val="20"/>
      <w:szCs w:val="20"/>
    </w:rPr>
  </w:style>
  <w:style w:type="character" w:customStyle="1" w:styleId="126">
    <w:name w:val="闻政正文 Char"/>
    <w:link w:val="127"/>
    <w:qFormat/>
    <w:uiPriority w:val="0"/>
    <w:rPr>
      <w:rFonts w:eastAsia="仿宋_GB2312"/>
      <w:kern w:val="2"/>
      <w:sz w:val="28"/>
      <w:szCs w:val="28"/>
    </w:rPr>
  </w:style>
  <w:style w:type="paragraph" w:customStyle="1" w:styleId="127">
    <w:name w:val="闻政正文"/>
    <w:basedOn w:val="1"/>
    <w:link w:val="126"/>
    <w:qFormat/>
    <w:uiPriority w:val="0"/>
    <w:pPr>
      <w:widowControl w:val="0"/>
      <w:spacing w:line="500" w:lineRule="exact"/>
      <w:ind w:firstLine="560"/>
    </w:pPr>
    <w:rPr>
      <w:kern w:val="2"/>
      <w:szCs w:val="28"/>
    </w:rPr>
  </w:style>
  <w:style w:type="character" w:customStyle="1" w:styleId="128">
    <w:name w:val="font51"/>
    <w:qFormat/>
    <w:uiPriority w:val="0"/>
    <w:rPr>
      <w:rFonts w:hint="eastAsia" w:ascii="宋体" w:hAnsi="宋体" w:eastAsia="宋体" w:cs="宋体"/>
      <w:color w:val="000000"/>
      <w:sz w:val="18"/>
      <w:szCs w:val="18"/>
      <w:u w:val="none"/>
    </w:rPr>
  </w:style>
  <w:style w:type="character" w:customStyle="1" w:styleId="129">
    <w:name w:val="_Style 117"/>
    <w:qFormat/>
    <w:uiPriority w:val="33"/>
    <w:rPr>
      <w:b/>
      <w:bCs/>
      <w:smallCaps/>
      <w:spacing w:val="5"/>
    </w:rPr>
  </w:style>
  <w:style w:type="character" w:customStyle="1" w:styleId="130">
    <w:name w:val="标题1 Char Char"/>
    <w:qFormat/>
    <w:uiPriority w:val="0"/>
    <w:rPr>
      <w:rFonts w:ascii="黑体" w:hAnsi="宋体" w:eastAsia="黑体"/>
      <w:bCs/>
      <w:kern w:val="2"/>
      <w:sz w:val="28"/>
      <w:szCs w:val="28"/>
    </w:rPr>
  </w:style>
  <w:style w:type="character" w:customStyle="1" w:styleId="131">
    <w:name w:val="标题 4 Char1"/>
    <w:semiHidden/>
    <w:qFormat/>
    <w:uiPriority w:val="9"/>
    <w:rPr>
      <w:rFonts w:ascii="Helvetica" w:hAnsi="Helvetica" w:eastAsia="黑体" w:cs="Helvetica"/>
      <w:b/>
      <w:bCs/>
      <w:sz w:val="28"/>
      <w:szCs w:val="28"/>
      <w:lang w:eastAsia="en-US"/>
    </w:rPr>
  </w:style>
  <w:style w:type="character" w:customStyle="1" w:styleId="132">
    <w:name w:val="标题 字符1"/>
    <w:qFormat/>
    <w:uiPriority w:val="10"/>
    <w:rPr>
      <w:rFonts w:ascii="Calibri Light" w:hAnsi="Calibri Light" w:eastAsia="宋体" w:cs="Times New Roman"/>
      <w:b/>
      <w:bCs/>
      <w:color w:val="000000"/>
      <w:sz w:val="32"/>
      <w:szCs w:val="32"/>
    </w:rPr>
  </w:style>
  <w:style w:type="character" w:customStyle="1" w:styleId="133">
    <w:name w:val="书籍标题2"/>
    <w:qFormat/>
    <w:uiPriority w:val="33"/>
    <w:rPr>
      <w:b/>
      <w:bCs/>
      <w:smallCaps/>
      <w:spacing w:val="5"/>
    </w:rPr>
  </w:style>
  <w:style w:type="character" w:customStyle="1" w:styleId="134">
    <w:name w:val="明显引用 字符1"/>
    <w:qFormat/>
    <w:uiPriority w:val="30"/>
    <w:rPr>
      <w:rFonts w:ascii="Times New Roman" w:hAnsi="Times New Roman" w:eastAsia="仿宋_GB2312" w:cs="Times New Roman"/>
      <w:i/>
      <w:iCs/>
      <w:color w:val="5B9BD5"/>
      <w:sz w:val="28"/>
      <w:szCs w:val="21"/>
    </w:rPr>
  </w:style>
  <w:style w:type="character" w:customStyle="1" w:styleId="135">
    <w:name w:val="批注框文本 字符1"/>
    <w:semiHidden/>
    <w:qFormat/>
    <w:uiPriority w:val="99"/>
    <w:rPr>
      <w:rFonts w:ascii="Times New Roman" w:hAnsi="Times New Roman" w:eastAsia="仿宋_GB2312" w:cs="Times New Roman"/>
      <w:color w:val="000000"/>
      <w:sz w:val="18"/>
      <w:szCs w:val="18"/>
    </w:rPr>
  </w:style>
  <w:style w:type="character" w:customStyle="1" w:styleId="136">
    <w:name w:val="无间隔 字符"/>
    <w:link w:val="137"/>
    <w:qFormat/>
    <w:uiPriority w:val="1"/>
    <w:rPr>
      <w:sz w:val="22"/>
      <w:szCs w:val="22"/>
      <w:lang w:val="en-US" w:eastAsia="zh-CN" w:bidi="ar-SA"/>
    </w:rPr>
  </w:style>
  <w:style w:type="paragraph" w:styleId="137">
    <w:name w:val="No Spacing"/>
    <w:link w:val="136"/>
    <w:qFormat/>
    <w:uiPriority w:val="1"/>
    <w:pPr>
      <w:ind w:firstLine="198"/>
    </w:pPr>
    <w:rPr>
      <w:rFonts w:ascii="Calibri" w:hAnsi="Calibri" w:eastAsia="宋体" w:cs="Times New Roman"/>
      <w:sz w:val="22"/>
      <w:szCs w:val="22"/>
      <w:lang w:val="en-US" w:eastAsia="zh-CN" w:bidi="ar-SA"/>
    </w:rPr>
  </w:style>
  <w:style w:type="character" w:customStyle="1" w:styleId="138">
    <w:name w:val="_Style 109"/>
    <w:qFormat/>
    <w:uiPriority w:val="31"/>
    <w:rPr>
      <w:smallCaps/>
      <w:color w:val="6EC038"/>
      <w:u w:val="single"/>
    </w:rPr>
  </w:style>
  <w:style w:type="character" w:customStyle="1" w:styleId="139">
    <w:name w:val="页眉 Char1"/>
    <w:semiHidden/>
    <w:qFormat/>
    <w:uiPriority w:val="99"/>
    <w:rPr>
      <w:rFonts w:eastAsia="仿宋_GB2312"/>
      <w:sz w:val="18"/>
      <w:szCs w:val="18"/>
    </w:rPr>
  </w:style>
  <w:style w:type="paragraph" w:customStyle="1" w:styleId="140">
    <w:name w:val="TOC 标题2"/>
    <w:basedOn w:val="3"/>
    <w:next w:val="1"/>
    <w:qFormat/>
    <w:uiPriority w:val="39"/>
    <w:pPr>
      <w:outlineLvl w:val="9"/>
    </w:pPr>
  </w:style>
  <w:style w:type="paragraph" w:customStyle="1" w:styleId="141">
    <w:name w:val="Char Char Char Char Char Char Char"/>
    <w:basedOn w:val="1"/>
    <w:qFormat/>
    <w:uiPriority w:val="0"/>
    <w:pPr>
      <w:spacing w:line="240" w:lineRule="exact"/>
    </w:pPr>
    <w:rPr>
      <w:rFonts w:eastAsia="宋体"/>
      <w:sz w:val="22"/>
      <w:lang w:eastAsia="en-US" w:bidi="en-US"/>
    </w:rPr>
  </w:style>
  <w:style w:type="paragraph" w:customStyle="1" w:styleId="142">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43">
    <w:name w:val="标题 81"/>
    <w:basedOn w:val="1"/>
    <w:next w:val="1"/>
    <w:unhideWhenUsed/>
    <w:qFormat/>
    <w:uiPriority w:val="0"/>
    <w:pPr>
      <w:keepNext/>
      <w:keepLines/>
      <w:outlineLvl w:val="7"/>
    </w:pPr>
    <w:rPr>
      <w:rFonts w:ascii="Helvetica" w:hAnsi="Helvetica" w:eastAsia="黑体" w:cs="Helvetica"/>
      <w:color w:val="499BC9"/>
      <w:sz w:val="20"/>
      <w:szCs w:val="20"/>
    </w:rPr>
  </w:style>
  <w:style w:type="paragraph" w:customStyle="1" w:styleId="144">
    <w:name w:val="A正文"/>
    <w:basedOn w:val="1"/>
    <w:qFormat/>
    <w:uiPriority w:val="0"/>
    <w:rPr>
      <w:szCs w:val="28"/>
    </w:rPr>
  </w:style>
  <w:style w:type="paragraph" w:customStyle="1" w:styleId="145">
    <w:name w:val="明显引用1"/>
    <w:basedOn w:val="1"/>
    <w:next w:val="1"/>
    <w:qFormat/>
    <w:uiPriority w:val="0"/>
    <w:pPr>
      <w:pBdr>
        <w:bottom w:val="single" w:color="auto" w:sz="4" w:space="1"/>
      </w:pBdr>
      <w:spacing w:line="276" w:lineRule="auto"/>
      <w:ind w:left="1008" w:right="1152"/>
    </w:pPr>
    <w:rPr>
      <w:rFonts w:ascii="仿宋_GB2312" w:eastAsia="宋体"/>
      <w:b/>
      <w:bCs/>
      <w:i/>
      <w:iCs/>
      <w:sz w:val="20"/>
      <w:szCs w:val="20"/>
    </w:rPr>
  </w:style>
  <w:style w:type="paragraph" w:customStyle="1" w:styleId="146">
    <w:name w:val="引用1"/>
    <w:basedOn w:val="1"/>
    <w:next w:val="1"/>
    <w:qFormat/>
    <w:uiPriority w:val="0"/>
    <w:pPr>
      <w:spacing w:line="276" w:lineRule="auto"/>
      <w:ind w:left="360" w:right="360"/>
    </w:pPr>
    <w:rPr>
      <w:rFonts w:ascii="仿宋_GB2312" w:eastAsia="宋体"/>
      <w:i/>
      <w:iCs/>
      <w:sz w:val="20"/>
      <w:szCs w:val="20"/>
    </w:rPr>
  </w:style>
  <w:style w:type="paragraph" w:customStyle="1" w:styleId="147">
    <w:name w:val="Table Paragraph"/>
    <w:basedOn w:val="1"/>
    <w:qFormat/>
    <w:uiPriority w:val="1"/>
    <w:pPr>
      <w:widowControl w:val="0"/>
      <w:spacing w:line="240" w:lineRule="auto"/>
    </w:pPr>
    <w:rPr>
      <w:rFonts w:eastAsia="宋体"/>
      <w:sz w:val="22"/>
      <w:lang w:eastAsia="en-US"/>
    </w:rPr>
  </w:style>
  <w:style w:type="paragraph" w:customStyle="1" w:styleId="148">
    <w:name w:val="BodyText"/>
    <w:basedOn w:val="1"/>
    <w:qFormat/>
    <w:uiPriority w:val="0"/>
    <w:rPr>
      <w:sz w:val="24"/>
    </w:rPr>
  </w:style>
  <w:style w:type="paragraph" w:customStyle="1" w:styleId="149">
    <w:name w:val="xl71"/>
    <w:basedOn w:val="1"/>
    <w:qFormat/>
    <w:uiPriority w:val="0"/>
    <w:pPr>
      <w:pBdr>
        <w:top w:val="single" w:color="auto" w:sz="4" w:space="0"/>
        <w:left w:val="single" w:color="auto" w:sz="4" w:space="0"/>
        <w:bottom w:val="single" w:color="auto" w:sz="4" w:space="0"/>
        <w:right w:val="single" w:color="auto" w:sz="4" w:space="0"/>
      </w:pBdr>
      <w:shd w:val="clear" w:color="000000" w:fill="FFFF99"/>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50">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51">
    <w:name w:val="1"/>
    <w:qFormat/>
    <w:uiPriority w:val="0"/>
    <w:pPr>
      <w:spacing w:beforeLines="50" w:afterLines="50" w:line="360" w:lineRule="auto"/>
      <w:ind w:firstLine="198"/>
    </w:pPr>
    <w:rPr>
      <w:rFonts w:ascii="Calibri" w:hAnsi="Calibri" w:eastAsia="仿宋_GB2312" w:cs="Times New Roman"/>
      <w:sz w:val="28"/>
      <w:szCs w:val="22"/>
      <w:lang w:val="en-US" w:eastAsia="zh-CN" w:bidi="ar-SA"/>
    </w:rPr>
  </w:style>
  <w:style w:type="paragraph" w:customStyle="1" w:styleId="152">
    <w:name w:val="修订1"/>
    <w:qFormat/>
    <w:uiPriority w:val="99"/>
    <w:pPr>
      <w:ind w:firstLine="198"/>
    </w:pPr>
    <w:rPr>
      <w:rFonts w:ascii="Calibri" w:hAnsi="Calibri" w:eastAsia="宋体" w:cs="Times New Roman"/>
      <w:sz w:val="22"/>
      <w:szCs w:val="22"/>
      <w:lang w:val="en-US" w:eastAsia="en-US" w:bidi="ar-SA"/>
    </w:rPr>
  </w:style>
  <w:style w:type="paragraph" w:customStyle="1" w:styleId="153">
    <w:name w:val="标题 41"/>
    <w:basedOn w:val="1"/>
    <w:next w:val="1"/>
    <w:unhideWhenUsed/>
    <w:qFormat/>
    <w:uiPriority w:val="0"/>
    <w:pPr>
      <w:keepNext/>
      <w:keepLines/>
      <w:outlineLvl w:val="3"/>
    </w:pPr>
    <w:rPr>
      <w:rFonts w:ascii="Helvetica" w:hAnsi="Helvetica" w:eastAsia="黑体" w:cs="Helvetica"/>
      <w:b/>
      <w:bCs/>
      <w:i/>
      <w:iCs/>
      <w:color w:val="499BC9"/>
    </w:rPr>
  </w:style>
  <w:style w:type="paragraph" w:customStyle="1" w:styleId="154">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仿宋_GB2312" w:hAnsi="宋体" w:cs="宋体"/>
      <w:color w:val="000000"/>
      <w:sz w:val="24"/>
      <w:szCs w:val="24"/>
    </w:rPr>
  </w:style>
  <w:style w:type="paragraph" w:customStyle="1" w:styleId="155">
    <w:name w:val="Char Char Char Char Char Char"/>
    <w:basedOn w:val="14"/>
    <w:qFormat/>
    <w:uiPriority w:val="0"/>
    <w:pPr>
      <w:widowControl w:val="0"/>
      <w:shd w:val="clear" w:color="auto" w:fill="000080"/>
      <w:adjustRightInd w:val="0"/>
      <w:spacing w:line="436" w:lineRule="exact"/>
      <w:ind w:left="357"/>
      <w:outlineLvl w:val="3"/>
    </w:pPr>
    <w:rPr>
      <w:rFonts w:ascii="Times New Roman"/>
      <w:kern w:val="2"/>
      <w:sz w:val="21"/>
      <w:szCs w:val="20"/>
      <w:lang w:eastAsia="zh-CN"/>
    </w:rPr>
  </w:style>
  <w:style w:type="paragraph" w:customStyle="1" w:styleId="156">
    <w:name w:val="xl6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57">
    <w:name w:val="题注1"/>
    <w:basedOn w:val="1"/>
    <w:next w:val="1"/>
    <w:unhideWhenUsed/>
    <w:qFormat/>
    <w:uiPriority w:val="0"/>
    <w:pPr>
      <w:spacing w:line="240" w:lineRule="auto"/>
    </w:pPr>
    <w:rPr>
      <w:rFonts w:ascii="Helvetica" w:hAnsi="Helvetica" w:cs="Helvetica"/>
      <w:b/>
      <w:bCs/>
      <w:color w:val="499BC9"/>
      <w:sz w:val="18"/>
      <w:szCs w:val="18"/>
    </w:rPr>
  </w:style>
  <w:style w:type="paragraph" w:customStyle="1" w:styleId="158">
    <w:name w:val="闻政标题4"/>
    <w:basedOn w:val="4"/>
    <w:qFormat/>
    <w:uiPriority w:val="0"/>
    <w:pPr>
      <w:spacing w:before="120" w:after="60" w:line="500" w:lineRule="exact"/>
    </w:pPr>
    <w:rPr>
      <w:rFonts w:eastAsia="仿宋_GB2312"/>
      <w:sz w:val="28"/>
    </w:rPr>
  </w:style>
  <w:style w:type="paragraph" w:customStyle="1" w:styleId="159">
    <w:name w:val="_Style 67"/>
    <w:basedOn w:val="3"/>
    <w:next w:val="1"/>
    <w:qFormat/>
    <w:uiPriority w:val="39"/>
    <w:pPr>
      <w:outlineLvl w:val="9"/>
    </w:pPr>
  </w:style>
  <w:style w:type="paragraph" w:customStyle="1" w:styleId="160">
    <w:name w:val="标题3"/>
    <w:basedOn w:val="1"/>
    <w:next w:val="1"/>
    <w:qFormat/>
    <w:uiPriority w:val="0"/>
    <w:pPr>
      <w:pBdr>
        <w:bottom w:val="single" w:color="499BC9" w:sz="8" w:space="4"/>
      </w:pBdr>
      <w:spacing w:line="240" w:lineRule="auto"/>
      <w:contextualSpacing/>
    </w:pPr>
    <w:rPr>
      <w:rFonts w:ascii="Helvetica" w:hAnsi="Helvetica" w:eastAsia="黑体" w:cs="Helvetica"/>
      <w:color w:val="2F2F2F"/>
      <w:spacing w:val="5"/>
      <w:kern w:val="28"/>
      <w:sz w:val="52"/>
      <w:szCs w:val="52"/>
    </w:rPr>
  </w:style>
  <w:style w:type="paragraph" w:customStyle="1" w:styleId="161">
    <w:name w:val="副标题1"/>
    <w:basedOn w:val="1"/>
    <w:next w:val="1"/>
    <w:qFormat/>
    <w:uiPriority w:val="0"/>
    <w:rPr>
      <w:rFonts w:ascii="Helvetica" w:hAnsi="Helvetica" w:eastAsia="黑体" w:cs="Helvetica"/>
      <w:i/>
      <w:iCs/>
      <w:color w:val="499BC9"/>
      <w:spacing w:val="15"/>
      <w:sz w:val="24"/>
      <w:szCs w:val="24"/>
    </w:rPr>
  </w:style>
  <w:style w:type="paragraph" w:customStyle="1" w:styleId="162">
    <w:name w:val="font5"/>
    <w:basedOn w:val="1"/>
    <w:qFormat/>
    <w:uiPriority w:val="0"/>
    <w:pPr>
      <w:spacing w:before="100" w:beforeAutospacing="1" w:after="100" w:afterAutospacing="1" w:line="240" w:lineRule="auto"/>
      <w:ind w:firstLine="0"/>
    </w:pPr>
    <w:rPr>
      <w:rFonts w:ascii="宋体" w:hAnsi="宋体" w:eastAsia="宋体" w:cs="宋体"/>
      <w:sz w:val="18"/>
      <w:szCs w:val="18"/>
    </w:rPr>
  </w:style>
  <w:style w:type="paragraph" w:customStyle="1" w:styleId="163">
    <w:name w:val="_Style 44"/>
    <w:qFormat/>
    <w:uiPriority w:val="99"/>
    <w:pPr>
      <w:ind w:firstLine="198"/>
    </w:pPr>
    <w:rPr>
      <w:rFonts w:ascii="Calibri" w:hAnsi="Calibri" w:eastAsia="宋体" w:cs="Times New Roman"/>
      <w:sz w:val="22"/>
      <w:szCs w:val="22"/>
      <w:lang w:val="en-US" w:eastAsia="en-US" w:bidi="ar-SA"/>
    </w:rPr>
  </w:style>
  <w:style w:type="paragraph" w:customStyle="1" w:styleId="164">
    <w:name w:val="标题 71"/>
    <w:basedOn w:val="1"/>
    <w:next w:val="1"/>
    <w:unhideWhenUsed/>
    <w:qFormat/>
    <w:uiPriority w:val="0"/>
    <w:pPr>
      <w:keepNext/>
      <w:keepLines/>
      <w:outlineLvl w:val="6"/>
    </w:pPr>
    <w:rPr>
      <w:rFonts w:ascii="Helvetica" w:hAnsi="Helvetica" w:eastAsia="黑体" w:cs="Helvetica"/>
      <w:i/>
      <w:iCs/>
      <w:color w:val="404040"/>
    </w:rPr>
  </w:style>
  <w:style w:type="paragraph" w:customStyle="1" w:styleId="165">
    <w:name w:val="默认"/>
    <w:qFormat/>
    <w:uiPriority w:val="0"/>
    <w:pPr>
      <w:ind w:firstLine="198"/>
    </w:pPr>
    <w:rPr>
      <w:rFonts w:ascii="Calibri" w:hAnsi="Calibri" w:eastAsia="Helvetica" w:cs="Times New Roman"/>
      <w:color w:val="000000"/>
      <w:sz w:val="22"/>
      <w:szCs w:val="22"/>
      <w:lang w:val="en-US" w:eastAsia="zh-CN" w:bidi="ar-SA"/>
    </w:rPr>
  </w:style>
  <w:style w:type="paragraph" w:customStyle="1" w:styleId="166">
    <w:name w:val="xl76"/>
    <w:basedOn w:val="1"/>
    <w:qFormat/>
    <w:uiPriority w:val="0"/>
    <w:pPr>
      <w:pBdr>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67">
    <w:name w:val="xl77"/>
    <w:basedOn w:val="1"/>
    <w:qFormat/>
    <w:uiPriority w:val="0"/>
    <w:pPr>
      <w:pBdr>
        <w:top w:val="single" w:color="auto" w:sz="4" w:space="0"/>
        <w:left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68">
    <w:name w:val="_Style 1"/>
    <w:basedOn w:val="1"/>
    <w:qFormat/>
    <w:uiPriority w:val="99"/>
    <w:pPr>
      <w:ind w:firstLine="420"/>
    </w:pPr>
  </w:style>
  <w:style w:type="paragraph" w:customStyle="1" w:styleId="169">
    <w:name w:val="页眉与页脚"/>
    <w:qFormat/>
    <w:uiPriority w:val="0"/>
    <w:pPr>
      <w:tabs>
        <w:tab w:val="right" w:pos="9020"/>
      </w:tabs>
      <w:ind w:firstLine="198"/>
    </w:pPr>
    <w:rPr>
      <w:rFonts w:ascii="Calibri" w:hAnsi="Arial Unicode MS" w:eastAsia="Arial Unicode MS" w:cs="Arial Unicode MS"/>
      <w:color w:val="000000"/>
      <w:sz w:val="24"/>
      <w:szCs w:val="24"/>
      <w:lang w:val="en-US" w:eastAsia="zh-CN" w:bidi="ar-SA"/>
    </w:rPr>
  </w:style>
  <w:style w:type="paragraph" w:customStyle="1" w:styleId="170">
    <w:name w:val="列出段落1"/>
    <w:basedOn w:val="1"/>
    <w:qFormat/>
    <w:uiPriority w:val="0"/>
    <w:pPr>
      <w:spacing w:line="276" w:lineRule="auto"/>
      <w:ind w:left="720"/>
      <w:contextualSpacing/>
    </w:pPr>
    <w:rPr>
      <w:rFonts w:ascii="仿宋_GB2312" w:eastAsia="宋体"/>
      <w:sz w:val="22"/>
      <w:lang w:eastAsia="en-US" w:bidi="en-US"/>
    </w:rPr>
  </w:style>
  <w:style w:type="paragraph" w:customStyle="1" w:styleId="171">
    <w:name w:val="正文 A"/>
    <w:qFormat/>
    <w:uiPriority w:val="0"/>
    <w:pPr>
      <w:widowControl w:val="0"/>
      <w:spacing w:before="50" w:after="50" w:line="360" w:lineRule="auto"/>
      <w:ind w:firstLine="198"/>
    </w:pPr>
    <w:rPr>
      <w:rFonts w:ascii="Calibri" w:hAnsi="Arial Unicode MS" w:eastAsia="Arial Unicode MS" w:cs="Arial Unicode MS"/>
      <w:color w:val="000000"/>
      <w:kern w:val="2"/>
      <w:sz w:val="28"/>
      <w:szCs w:val="28"/>
      <w:lang w:val="en-US" w:eastAsia="zh-CN" w:bidi="ar-SA"/>
    </w:rPr>
  </w:style>
  <w:style w:type="paragraph" w:customStyle="1" w:styleId="172">
    <w:name w:val="xl7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73">
    <w:name w:val="无间隔1"/>
    <w:basedOn w:val="1"/>
    <w:qFormat/>
    <w:uiPriority w:val="0"/>
    <w:rPr>
      <w:rFonts w:ascii="仿宋_GB2312" w:eastAsia="宋体"/>
      <w:sz w:val="22"/>
      <w:lang w:eastAsia="en-US" w:bidi="en-US"/>
    </w:rPr>
  </w:style>
  <w:style w:type="paragraph" w:customStyle="1" w:styleId="174">
    <w:name w:val="xl72"/>
    <w:basedOn w:val="1"/>
    <w:qFormat/>
    <w:uiPriority w:val="0"/>
    <w:pPr>
      <w:pBdr>
        <w:top w:val="single" w:color="auto" w:sz="4" w:space="0"/>
        <w:left w:val="single" w:color="auto" w:sz="4" w:space="0"/>
        <w:bottom w:val="single" w:color="auto" w:sz="4" w:space="0"/>
        <w:right w:val="single" w:color="auto" w:sz="4" w:space="0"/>
      </w:pBdr>
      <w:shd w:val="clear" w:color="000000" w:fill="FFFF99"/>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75">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sz w:val="18"/>
      <w:szCs w:val="18"/>
    </w:rPr>
  </w:style>
  <w:style w:type="paragraph" w:customStyle="1" w:styleId="176">
    <w:name w:val="xl6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77">
    <w:name w:val="TOC 标题1"/>
    <w:basedOn w:val="3"/>
    <w:next w:val="1"/>
    <w:qFormat/>
    <w:uiPriority w:val="0"/>
    <w:pPr>
      <w:keepNext w:val="0"/>
      <w:keepLines w:val="0"/>
      <w:spacing w:line="276" w:lineRule="auto"/>
      <w:contextualSpacing/>
      <w:outlineLvl w:val="9"/>
    </w:pPr>
    <w:rPr>
      <w:rFonts w:ascii="Cambria" w:hAnsi="Cambria" w:eastAsia="宋体"/>
      <w:b/>
    </w:rPr>
  </w:style>
  <w:style w:type="paragraph" w:customStyle="1" w:styleId="178">
    <w:name w:val="标题 61"/>
    <w:basedOn w:val="1"/>
    <w:next w:val="1"/>
    <w:unhideWhenUsed/>
    <w:qFormat/>
    <w:uiPriority w:val="0"/>
    <w:pPr>
      <w:keepNext/>
      <w:keepLines/>
      <w:outlineLvl w:val="5"/>
    </w:pPr>
    <w:rPr>
      <w:rFonts w:ascii="Helvetica" w:hAnsi="Helvetica" w:eastAsia="黑体" w:cs="Helvetica"/>
      <w:i/>
      <w:iCs/>
      <w:color w:val="1F4E69"/>
    </w:rPr>
  </w:style>
  <w:style w:type="paragraph" w:customStyle="1" w:styleId="179">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80">
    <w:name w:val="xl75"/>
    <w:basedOn w:val="1"/>
    <w:qFormat/>
    <w:uiPriority w:val="0"/>
    <w:pPr>
      <w:pBdr>
        <w:top w:val="single" w:color="auto" w:sz="4" w:space="0"/>
        <w:left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color w:val="000000"/>
      <w:sz w:val="20"/>
      <w:szCs w:val="20"/>
    </w:rPr>
  </w:style>
  <w:style w:type="paragraph" w:customStyle="1" w:styleId="181">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仿宋_GB2312" w:hAnsi="宋体" w:cs="宋体"/>
      <w:color w:val="000000"/>
      <w:sz w:val="24"/>
      <w:szCs w:val="24"/>
    </w:rPr>
  </w:style>
  <w:style w:type="paragraph" w:customStyle="1" w:styleId="182">
    <w:name w:val="标题 91"/>
    <w:basedOn w:val="1"/>
    <w:next w:val="1"/>
    <w:unhideWhenUsed/>
    <w:qFormat/>
    <w:uiPriority w:val="0"/>
    <w:pPr>
      <w:keepNext/>
      <w:keepLines/>
      <w:outlineLvl w:val="8"/>
    </w:pPr>
    <w:rPr>
      <w:rFonts w:ascii="Helvetica" w:hAnsi="Helvetica" w:eastAsia="黑体" w:cs="Helvetica"/>
      <w:i/>
      <w:iCs/>
      <w:color w:val="404040"/>
      <w:sz w:val="20"/>
      <w:szCs w:val="20"/>
    </w:rPr>
  </w:style>
  <w:style w:type="paragraph" w:customStyle="1" w:styleId="183">
    <w:name w:val="Char Char Char Char Char Char Char1"/>
    <w:basedOn w:val="1"/>
    <w:qFormat/>
    <w:uiPriority w:val="0"/>
    <w:pPr>
      <w:widowControl w:val="0"/>
    </w:pPr>
    <w:rPr>
      <w:rFonts w:eastAsia="宋体"/>
      <w:kern w:val="2"/>
      <w:sz w:val="21"/>
      <w:szCs w:val="21"/>
    </w:rPr>
  </w:style>
  <w:style w:type="paragraph" w:customStyle="1" w:styleId="184">
    <w:name w:val="xl78"/>
    <w:basedOn w:val="1"/>
    <w:qFormat/>
    <w:uiPriority w:val="0"/>
    <w:pPr>
      <w:pBdr>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sz w:val="20"/>
      <w:szCs w:val="20"/>
    </w:rPr>
  </w:style>
  <w:style w:type="paragraph" w:customStyle="1" w:styleId="185">
    <w:name w:val="标题 51"/>
    <w:basedOn w:val="1"/>
    <w:next w:val="1"/>
    <w:unhideWhenUsed/>
    <w:qFormat/>
    <w:uiPriority w:val="0"/>
    <w:pPr>
      <w:keepNext/>
      <w:keepLines/>
      <w:outlineLvl w:val="4"/>
    </w:pPr>
    <w:rPr>
      <w:rFonts w:ascii="Helvetica" w:hAnsi="Helvetica" w:eastAsia="黑体" w:cs="Helvetica"/>
      <w:color w:val="1F4E69"/>
    </w:rPr>
  </w:style>
  <w:style w:type="paragraph" w:customStyle="1" w:styleId="186">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firstLine="0"/>
      <w:jc w:val="center"/>
      <w:textAlignment w:val="center"/>
    </w:pPr>
    <w:rPr>
      <w:rFonts w:ascii="宋体" w:hAnsi="宋体" w:eastAsia="宋体" w:cs="宋体"/>
      <w:sz w:val="20"/>
      <w:szCs w:val="20"/>
    </w:rPr>
  </w:style>
  <w:style w:type="table" w:customStyle="1" w:styleId="187">
    <w:name w:val="网格型1"/>
    <w:basedOn w:val="37"/>
    <w:qFormat/>
    <w:uiPriority w:val="59"/>
    <w:pPr>
      <w:spacing w:line="560" w:lineRule="exact"/>
      <w:ind w:firstLine="200" w:firstLineChars="20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88">
    <w:name w:val="网格型2"/>
    <w:basedOn w:val="3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89">
    <w:name w:val="网格型32"/>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0">
    <w:name w:val="Table Normal1"/>
    <w:qFormat/>
    <w:uiPriority w:val="2"/>
    <w:pPr>
      <w:spacing w:after="200" w:line="276" w:lineRule="auto"/>
      <w:ind w:firstLine="198"/>
    </w:pPr>
    <w:rPr>
      <w:sz w:val="22"/>
    </w:rPr>
    <w:tblPr>
      <w:tblCellMar>
        <w:top w:w="0" w:type="dxa"/>
        <w:left w:w="0" w:type="dxa"/>
        <w:bottom w:w="0" w:type="dxa"/>
        <w:right w:w="0" w:type="dxa"/>
      </w:tblCellMar>
    </w:tblPr>
  </w:style>
  <w:style w:type="table" w:customStyle="1" w:styleId="191">
    <w:name w:val="网格型311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2">
    <w:name w:val="Table Normal"/>
    <w:qFormat/>
    <w:uiPriority w:val="2"/>
    <w:pPr>
      <w:spacing w:after="200" w:line="276" w:lineRule="auto"/>
      <w:ind w:firstLine="198"/>
    </w:pPr>
    <w:rPr>
      <w:sz w:val="22"/>
      <w:szCs w:val="22"/>
    </w:rPr>
    <w:tblPr>
      <w:tblCellMar>
        <w:top w:w="0" w:type="dxa"/>
        <w:left w:w="0" w:type="dxa"/>
        <w:bottom w:w="0" w:type="dxa"/>
        <w:right w:w="0" w:type="dxa"/>
      </w:tblCellMar>
    </w:tblPr>
  </w:style>
  <w:style w:type="table" w:customStyle="1" w:styleId="193">
    <w:name w:val="网格型311"/>
    <w:basedOn w:val="37"/>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4">
    <w:name w:val="Table Normal11"/>
    <w:qFormat/>
    <w:uiPriority w:val="2"/>
    <w:pPr>
      <w:spacing w:after="200" w:line="276" w:lineRule="auto"/>
      <w:ind w:firstLine="198"/>
    </w:pPr>
    <w:rPr>
      <w:sz w:val="22"/>
      <w:szCs w:val="22"/>
    </w:rPr>
    <w:tblPr>
      <w:tblCellMar>
        <w:top w:w="0" w:type="dxa"/>
        <w:left w:w="0" w:type="dxa"/>
        <w:bottom w:w="0" w:type="dxa"/>
        <w:right w:w="0" w:type="dxa"/>
      </w:tblCellMar>
    </w:tblPr>
  </w:style>
  <w:style w:type="table" w:customStyle="1" w:styleId="195">
    <w:name w:val="网格型21"/>
    <w:basedOn w:val="3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96">
    <w:name w:val="Table Normal111"/>
    <w:qFormat/>
    <w:uiPriority w:val="2"/>
    <w:pPr>
      <w:spacing w:after="200" w:line="276" w:lineRule="auto"/>
      <w:ind w:firstLine="198"/>
    </w:pPr>
    <w:rPr>
      <w:sz w:val="22"/>
    </w:rPr>
    <w:tblPr>
      <w:tblCellMar>
        <w:top w:w="0" w:type="dxa"/>
        <w:left w:w="0" w:type="dxa"/>
        <w:bottom w:w="0" w:type="dxa"/>
        <w:right w:w="0" w:type="dxa"/>
      </w:tblCellMar>
    </w:tblPr>
  </w:style>
  <w:style w:type="table" w:customStyle="1" w:styleId="197">
    <w:name w:val="网格型111"/>
    <w:basedOn w:val="37"/>
    <w:qFormat/>
    <w:uiPriority w:val="59"/>
    <w:pPr>
      <w:spacing w:line="560" w:lineRule="exact"/>
      <w:ind w:firstLine="200" w:firstLineChars="20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98">
    <w:name w:val="网格型4"/>
    <w:basedOn w:val="3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99">
    <w:name w:val="网格型11"/>
    <w:basedOn w:val="37"/>
    <w:qFormat/>
    <w:uiPriority w:val="59"/>
    <w:pPr>
      <w:spacing w:line="560" w:lineRule="exact"/>
      <w:ind w:firstLine="200" w:firstLineChars="20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00">
    <w:name w:val="Table Normal2"/>
    <w:qFormat/>
    <w:uiPriority w:val="2"/>
    <w:pPr>
      <w:spacing w:after="200" w:line="276" w:lineRule="auto"/>
      <w:ind w:firstLine="198"/>
    </w:pPr>
    <w:rPr>
      <w:sz w:val="22"/>
    </w:rPr>
    <w:tblPr>
      <w:tblCellMar>
        <w:top w:w="0" w:type="dxa"/>
        <w:left w:w="0" w:type="dxa"/>
        <w:bottom w:w="0" w:type="dxa"/>
        <w:right w:w="0" w:type="dxa"/>
      </w:tblCellMar>
    </w:tblPr>
  </w:style>
  <w:style w:type="table" w:customStyle="1" w:styleId="201">
    <w:name w:val="网格型12"/>
    <w:basedOn w:val="37"/>
    <w:qFormat/>
    <w:uiPriority w:val="59"/>
    <w:pPr>
      <w:spacing w:line="560" w:lineRule="exact"/>
      <w:ind w:firstLine="200" w:firstLineChars="200"/>
      <w:jc w:val="both"/>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02">
    <w:name w:val="网格型3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03">
    <w:name w:val="网格型3"/>
    <w:basedOn w:val="37"/>
    <w:qFormat/>
    <w:uiPriority w:val="59"/>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4">
    <w:name w:val="图表"/>
    <w:basedOn w:val="1"/>
    <w:qFormat/>
    <w:uiPriority w:val="0"/>
    <w:pPr>
      <w:spacing w:line="500" w:lineRule="exact"/>
      <w:ind w:firstLine="0" w:firstLineChars="0"/>
      <w:jc w:val="center"/>
    </w:pPr>
    <w:rPr>
      <w:b/>
      <w:sz w:val="28"/>
      <w:szCs w:val="28"/>
    </w:rPr>
  </w:style>
  <w:style w:type="character" w:customStyle="1" w:styleId="205">
    <w:name w:val="font31"/>
    <w:qFormat/>
    <w:uiPriority w:val="0"/>
    <w:rPr>
      <w:rFonts w:hint="eastAsia" w:ascii="仿宋_GB2312" w:eastAsia="仿宋_GB2312" w:cs="仿宋_GB2312"/>
      <w:b/>
      <w:bCs/>
      <w:color w:val="000000"/>
      <w:sz w:val="24"/>
      <w:szCs w:val="24"/>
      <w:u w:val="none"/>
    </w:rPr>
  </w:style>
  <w:style w:type="character" w:customStyle="1" w:styleId="206">
    <w:name w:val="font12"/>
    <w:qFormat/>
    <w:uiPriority w:val="0"/>
    <w:rPr>
      <w:rFonts w:hint="eastAsia" w:ascii="仿宋_GB2312" w:eastAsia="仿宋_GB2312" w:cs="仿宋_GB2312"/>
      <w:b/>
      <w:bCs/>
      <w:color w:val="000000"/>
      <w:sz w:val="24"/>
      <w:szCs w:val="24"/>
      <w:u w:val="none"/>
    </w:rPr>
  </w:style>
  <w:style w:type="paragraph" w:customStyle="1" w:styleId="207">
    <w:name w:val="msolistparagraph"/>
    <w:basedOn w:val="1"/>
    <w:qFormat/>
    <w:uiPriority w:val="0"/>
    <w:pPr>
      <w:widowControl w:val="0"/>
      <w:ind w:firstLine="420"/>
    </w:pPr>
    <w:rPr>
      <w:kern w:val="2"/>
    </w:rPr>
  </w:style>
  <w:style w:type="character" w:customStyle="1" w:styleId="208">
    <w:name w:val="font41"/>
    <w:basedOn w:val="39"/>
    <w:qFormat/>
    <w:uiPriority w:val="0"/>
    <w:rPr>
      <w:rFonts w:hint="eastAsia" w:ascii="仿宋_GB2312" w:eastAsia="仿宋_GB2312" w:cs="仿宋_GB2312"/>
      <w:color w:val="000000"/>
      <w:sz w:val="21"/>
      <w:szCs w:val="21"/>
      <w:u w:val="none"/>
    </w:rPr>
  </w:style>
  <w:style w:type="character" w:customStyle="1" w:styleId="209">
    <w:name w:val="font111"/>
    <w:basedOn w:val="39"/>
    <w:qFormat/>
    <w:uiPriority w:val="0"/>
    <w:rPr>
      <w:rFonts w:hint="default" w:ascii="Times New Roman" w:hAnsi="Times New Roman" w:cs="Times New Roman"/>
      <w:color w:val="000000"/>
      <w:sz w:val="22"/>
      <w:szCs w:val="22"/>
      <w:u w:val="none"/>
    </w:rPr>
  </w:style>
  <w:style w:type="character" w:customStyle="1" w:styleId="210">
    <w:name w:val="font81"/>
    <w:basedOn w:val="39"/>
    <w:qFormat/>
    <w:uiPriority w:val="0"/>
    <w:rPr>
      <w:rFonts w:hint="eastAsia" w:ascii="宋体" w:hAnsi="宋体" w:eastAsia="宋体" w:cs="宋体"/>
      <w:color w:val="000000"/>
      <w:sz w:val="22"/>
      <w:szCs w:val="22"/>
      <w:u w:val="none"/>
    </w:rPr>
  </w:style>
  <w:style w:type="character" w:customStyle="1" w:styleId="211">
    <w:name w:val="font122"/>
    <w:basedOn w:val="39"/>
    <w:qFormat/>
    <w:uiPriority w:val="0"/>
    <w:rPr>
      <w:rFonts w:hint="default" w:ascii="Times New Roman" w:hAnsi="Times New Roman" w:cs="Times New Roman"/>
      <w:color w:val="000000"/>
      <w:sz w:val="22"/>
      <w:szCs w:val="22"/>
      <w:u w:val="none"/>
    </w:rPr>
  </w:style>
  <w:style w:type="character" w:customStyle="1" w:styleId="212">
    <w:name w:val="font131"/>
    <w:basedOn w:val="39"/>
    <w:qFormat/>
    <w:uiPriority w:val="0"/>
    <w:rPr>
      <w:rFonts w:hint="eastAsia" w:ascii="仿宋_GB2312" w:eastAsia="仿宋_GB2312" w:cs="仿宋_GB2312"/>
      <w:color w:val="000000"/>
      <w:sz w:val="21"/>
      <w:szCs w:val="21"/>
      <w:u w:val="none"/>
    </w:rPr>
  </w:style>
  <w:style w:type="character" w:customStyle="1" w:styleId="213">
    <w:name w:val="font91"/>
    <w:basedOn w:val="39"/>
    <w:qFormat/>
    <w:uiPriority w:val="0"/>
    <w:rPr>
      <w:rFonts w:hint="default" w:ascii="Times New Roman" w:hAnsi="Times New Roman" w:cs="Times New Roman"/>
      <w:color w:val="000000"/>
      <w:sz w:val="21"/>
      <w:szCs w:val="21"/>
      <w:u w:val="none"/>
    </w:rPr>
  </w:style>
  <w:style w:type="character" w:customStyle="1" w:styleId="214">
    <w:name w:val="font141"/>
    <w:basedOn w:val="39"/>
    <w:qFormat/>
    <w:uiPriority w:val="0"/>
    <w:rPr>
      <w:rFonts w:hint="eastAsia" w:ascii="仿宋_GB2312" w:eastAsia="仿宋_GB2312" w:cs="仿宋_GB2312"/>
      <w:color w:val="000000"/>
      <w:sz w:val="21"/>
      <w:szCs w:val="21"/>
      <w:u w:val="none"/>
    </w:rPr>
  </w:style>
  <w:style w:type="character" w:customStyle="1" w:styleId="215">
    <w:name w:val="font151"/>
    <w:basedOn w:val="39"/>
    <w:qFormat/>
    <w:uiPriority w:val="0"/>
    <w:rPr>
      <w:rFonts w:hint="default" w:ascii="Times New Roman" w:hAnsi="Times New Roman" w:cs="Times New Roman"/>
      <w:color w:val="000000"/>
      <w:sz w:val="21"/>
      <w:szCs w:val="21"/>
      <w:u w:val="none"/>
    </w:rPr>
  </w:style>
  <w:style w:type="character" w:customStyle="1" w:styleId="216">
    <w:name w:val="font101"/>
    <w:basedOn w:val="39"/>
    <w:qFormat/>
    <w:uiPriority w:val="0"/>
    <w:rPr>
      <w:rFonts w:hint="eastAsia" w:ascii="仿宋_GB2312" w:eastAsia="仿宋_GB2312" w:cs="仿宋_GB2312"/>
      <w:color w:val="000000"/>
      <w:sz w:val="21"/>
      <w:szCs w:val="21"/>
      <w:u w:val="none"/>
    </w:rPr>
  </w:style>
  <w:style w:type="character" w:customStyle="1" w:styleId="217">
    <w:name w:val="font112"/>
    <w:basedOn w:val="39"/>
    <w:qFormat/>
    <w:uiPriority w:val="0"/>
    <w:rPr>
      <w:rFonts w:hint="default" w:ascii="Times New Roman" w:hAnsi="Times New Roman" w:cs="Times New Roman"/>
      <w:color w:val="000000"/>
      <w:sz w:val="21"/>
      <w:szCs w:val="21"/>
      <w:u w:val="none"/>
    </w:rPr>
  </w:style>
  <w:style w:type="character" w:customStyle="1" w:styleId="218">
    <w:name w:val="font171"/>
    <w:basedOn w:val="39"/>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chart" Target="charts/chart1.xml"/><Relationship Id="rId34" Type="http://schemas.openxmlformats.org/officeDocument/2006/relationships/image" Target="media/image10.wmf"/><Relationship Id="rId33" Type="http://schemas.openxmlformats.org/officeDocument/2006/relationships/image" Target="media/image9.wmf"/><Relationship Id="rId32" Type="http://schemas.openxmlformats.org/officeDocument/2006/relationships/image" Target="media/image8.wmf"/><Relationship Id="rId31" Type="http://schemas.openxmlformats.org/officeDocument/2006/relationships/image" Target="media/image7.wmf"/><Relationship Id="rId30" Type="http://schemas.openxmlformats.org/officeDocument/2006/relationships/image" Target="media/image6.wmf"/><Relationship Id="rId3" Type="http://schemas.openxmlformats.org/officeDocument/2006/relationships/footnotes" Target="footnotes.xml"/><Relationship Id="rId29" Type="http://schemas.openxmlformats.org/officeDocument/2006/relationships/image" Target="media/image5.wmf"/><Relationship Id="rId28" Type="http://schemas.openxmlformats.org/officeDocument/2006/relationships/image" Target="media/image4.wmf"/><Relationship Id="rId27" Type="http://schemas.openxmlformats.org/officeDocument/2006/relationships/image" Target="media/image3.wmf"/><Relationship Id="rId26" Type="http://schemas.openxmlformats.org/officeDocument/2006/relationships/oleObject" Target="embeddings/oleObject1.bin"/><Relationship Id="rId25" Type="http://schemas.openxmlformats.org/officeDocument/2006/relationships/image" Target="media/image2.png"/><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footer" Target="footer13.xml"/><Relationship Id="rId21" Type="http://schemas.openxmlformats.org/officeDocument/2006/relationships/header" Target="header5.xml"/><Relationship Id="rId20" Type="http://schemas.openxmlformats.org/officeDocument/2006/relationships/footer" Target="footer12.xml"/><Relationship Id="rId2" Type="http://schemas.openxmlformats.org/officeDocument/2006/relationships/settings" Target="settings.xml"/><Relationship Id="rId19" Type="http://schemas.openxmlformats.org/officeDocument/2006/relationships/header" Target="header4.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86175\Desktop\&#24037;\&#26609;&#29366;&#22534;&#31215;&#2227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"得分率"</c:f>
              <c:strCache>
                <c:ptCount val="1"/>
                <c:pt idx="0">
                  <c:v>得分率</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'[柱状堆积图.xlsx]指标底稿 (2)'!$C$16:$F$16</c:f>
              <c:strCache>
                <c:ptCount val="4"/>
                <c:pt idx="0">
                  <c:v>决策</c:v>
                </c:pt>
                <c:pt idx="1">
                  <c:v>过程</c:v>
                </c:pt>
                <c:pt idx="2">
                  <c:v>产出</c:v>
                </c:pt>
                <c:pt idx="3">
                  <c:v>效益</c:v>
                </c:pt>
              </c:strCache>
            </c:strRef>
          </c:cat>
          <c:val>
            <c:numRef>
              <c:f>'[柱状堆积图.xlsx]指标底稿 (2)'!$C$17:$F$17</c:f>
              <c:numCache>
                <c:formatCode>0.00%</c:formatCode>
                <c:ptCount val="4"/>
                <c:pt idx="0">
                  <c:v>0.8333</c:v>
                </c:pt>
                <c:pt idx="1">
                  <c:v>0.84</c:v>
                </c:pt>
                <c:pt idx="2">
                  <c:v>0.8667</c:v>
                </c:pt>
                <c:pt idx="3">
                  <c:v>0.8583</c:v>
                </c:pt>
              </c:numCache>
            </c:numRef>
          </c:val>
        </c:ser>
        <c:ser>
          <c:idx val="1"/>
          <c:order val="1"/>
          <c:tx>
            <c:strRef>
              <c:f>"扣分率"</c:f>
              <c:strCache>
                <c:ptCount val="1"/>
                <c:pt idx="0">
                  <c:v>扣分率</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'[柱状堆积图.xlsx]指标底稿 (2)'!$C$16:$F$16</c:f>
              <c:strCache>
                <c:ptCount val="4"/>
                <c:pt idx="0">
                  <c:v>决策</c:v>
                </c:pt>
                <c:pt idx="1">
                  <c:v>过程</c:v>
                </c:pt>
                <c:pt idx="2">
                  <c:v>产出</c:v>
                </c:pt>
                <c:pt idx="3">
                  <c:v>效益</c:v>
                </c:pt>
              </c:strCache>
            </c:strRef>
          </c:cat>
          <c:val>
            <c:numRef>
              <c:f>'[柱状堆积图.xlsx]指标底稿 (2)'!$C$18:$F$18</c:f>
              <c:numCache>
                <c:formatCode>0.00%</c:formatCode>
                <c:ptCount val="4"/>
                <c:pt idx="0">
                  <c:v>0.1667</c:v>
                </c:pt>
                <c:pt idx="1">
                  <c:v>0.16</c:v>
                </c:pt>
                <c:pt idx="2">
                  <c:v>0.1333</c:v>
                </c:pt>
                <c:pt idx="3">
                  <c:v>0.1417</c:v>
                </c:pt>
              </c:numCache>
            </c:numRef>
          </c:val>
        </c:ser>
        <c:dLbls>
          <c:showLegendKey val="0"/>
          <c:showVal val="1"/>
          <c:showCatName val="0"/>
          <c:showSerName val="0"/>
          <c:showPercent val="0"/>
          <c:showBubbleSize val="0"/>
        </c:dLbls>
        <c:gapWidth val="150"/>
        <c:axId val="730012736"/>
        <c:axId val="730009784"/>
      </c:barChart>
      <c:catAx>
        <c:axId val="730012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0009784"/>
        <c:crosses val="autoZero"/>
        <c:auto val="1"/>
        <c:lblAlgn val="ctr"/>
        <c:lblOffset val="100"/>
        <c:noMultiLvlLbl val="0"/>
      </c:catAx>
      <c:valAx>
        <c:axId val="73000978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0012736"/>
        <c:crosses val="autoZero"/>
        <c:crossBetween val="between"/>
      </c:valAx>
      <c:dTable>
        <c:showHorzBorder val="1"/>
        <c:showVertBorder val="1"/>
        <c:showOutline val="1"/>
        <c:showKeys val="0"/>
        <c:spPr>
          <a:noFill/>
          <a:ln w="9525" cap="flat" cmpd="sng" algn="ctr">
            <a:solidFill>
              <a:schemeClr val="tx1">
                <a:lumMod val="15000"/>
                <a:lumOff val="85000"/>
              </a:schemeClr>
            </a:solidFill>
            <a:round/>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extobjs>
    <extobj name="ECB019B1-382A-4266-B25C-5B523AA43C14-1">
      <extobjdata type="ECB019B1-382A-4266-B25C-5B523AA43C14" data="ewoJIkZpbGVJZCIgOiAiMjA4ODIwMzg0MDA5IiwKCSJHcm91cElkIiA6ICI1NzA2ODIyNTQiLAoJIkltYWdlIiA6ICJpVkJPUncwS0dnb0FBQUFOU1VoRVVnQUFBamNBQUFDMENBWUFBQUJva3czeEFBQUFDWEJJV1hNQUFBc1RBQUFMRXdFQW1wd1lBQUFnQUVsRVFWUjRuTzNkZVZ5VTFmNEg4TTh6d09CQ1lPU2FYakUxSmIxZVk4WTlGUU1NRjY2R2FZcW9kYTMwZGMzbEp1S1Mrc3NsQ1FtM1VqTTFyY2dvRnpSSnd4VXBTZEhReXFzM01TV1QxQXR1ckRMRDhKemZIOEJjeHBsaE1aaG5nTS83OWZJRnovT2M1emxuOEp5Wjc1em5QT2NB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"/>
    </extobj>
  </extobj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E0873B-B04D-4553-BC72-FA33AF232FD3}">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80</Pages>
  <Words>29484</Words>
  <Characters>32047</Characters>
  <Lines>279</Lines>
  <Paragraphs>78</Paragraphs>
  <TotalTime>0</TotalTime>
  <ScaleCrop>false</ScaleCrop>
  <LinksUpToDate>false</LinksUpToDate>
  <CharactersWithSpaces>32150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2021-04-02T06:03:00Z</dcterms:created>
  <dc:creator>luyi</dc:creator>
  <cp:lastModifiedBy>.</cp:lastModifiedBy>
  <cp:lastPrinted>2021-11-05T02:55:00Z</cp:lastPrinted>
  <dcterms:modified xsi:type="dcterms:W3CDTF">2023-02-20T04:17:38Z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3FB768036A1E40018F106ED67EFCFE7C</vt:lpwstr>
  </property>
</Properties>
</file>