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2" w:firstLineChars="200"/>
        <w:jc w:val="both"/>
        <w:outlineLvl w:val="0"/>
        <w:rPr>
          <w:rFonts w:hint="default" w:ascii="黑体" w:hAnsi="黑体" w:eastAsia="黑体"/>
          <w:b/>
          <w:sz w:val="36"/>
          <w:szCs w:val="36"/>
          <w:lang w:val="en-US" w:eastAsia="zh-CN"/>
        </w:rPr>
      </w:pPr>
      <w:r>
        <w:rPr>
          <w:rFonts w:hint="eastAsia" w:ascii="黑体" w:hAnsi="黑体" w:eastAsia="黑体"/>
          <w:b/>
          <w:sz w:val="36"/>
          <w:szCs w:val="36"/>
          <w:lang w:val="en-US" w:eastAsia="zh-CN"/>
        </w:rPr>
        <w:t>2020年度10个重点项目</w:t>
      </w:r>
      <w:bookmarkStart w:id="0" w:name="_GoBack"/>
      <w:bookmarkEnd w:id="0"/>
      <w:r>
        <w:rPr>
          <w:rFonts w:hint="eastAsia" w:ascii="黑体" w:hAnsi="黑体" w:eastAsia="黑体"/>
          <w:b/>
          <w:sz w:val="36"/>
          <w:szCs w:val="36"/>
          <w:lang w:val="en-US" w:eastAsia="zh-CN"/>
        </w:rPr>
        <w:t>绩效评价主要情况</w:t>
      </w:r>
    </w:p>
    <w:p>
      <w:pPr>
        <w:tabs>
          <w:tab w:val="left" w:pos="770"/>
        </w:tabs>
        <w:spacing w:line="360" w:lineRule="auto"/>
        <w:ind w:firstLine="642" w:firstLineChars="200"/>
        <w:outlineLvl w:val="0"/>
        <w:rPr>
          <w:rFonts w:hint="eastAsia" w:ascii="黑体" w:hAnsi="黑体" w:eastAsia="黑体"/>
          <w:b/>
          <w:sz w:val="32"/>
          <w:szCs w:val="32"/>
          <w:lang w:eastAsia="zh-CN"/>
        </w:rPr>
      </w:pPr>
      <w:r>
        <w:rPr>
          <w:rFonts w:hint="eastAsia" w:ascii="黑体" w:hAnsi="黑体" w:eastAsia="黑体"/>
          <w:b/>
          <w:sz w:val="32"/>
          <w:szCs w:val="32"/>
          <w:lang w:eastAsia="zh-CN"/>
        </w:rPr>
        <w:tab/>
      </w:r>
    </w:p>
    <w:p>
      <w:pPr>
        <w:spacing w:line="360" w:lineRule="auto"/>
        <w:ind w:firstLine="640" w:firstLineChars="200"/>
        <w:outlineLvl w:val="0"/>
        <w:rPr>
          <w:rFonts w:hint="eastAsia" w:ascii="黑体" w:hAnsi="黑体" w:eastAsia="黑体"/>
          <w:b/>
          <w:sz w:val="32"/>
          <w:szCs w:val="32"/>
        </w:rPr>
      </w:pPr>
      <w:r>
        <w:rPr>
          <w:rFonts w:hint="eastAsia" w:ascii="仿宋" w:hAnsi="仿宋" w:eastAsia="仿宋"/>
          <w:sz w:val="32"/>
          <w:szCs w:val="32"/>
        </w:rPr>
        <w:t>根据年度工作安排，2020年选择</w:t>
      </w:r>
      <w:r>
        <w:rPr>
          <w:rFonts w:hint="eastAsia" w:ascii="仿宋" w:hAnsi="仿宋" w:eastAsia="仿宋"/>
          <w:sz w:val="32"/>
          <w:szCs w:val="32"/>
          <w:lang w:eastAsia="zh-CN"/>
        </w:rPr>
        <w:t>了</w:t>
      </w:r>
      <w:r>
        <w:rPr>
          <w:rFonts w:hint="eastAsia" w:ascii="仿宋" w:hAnsi="仿宋" w:eastAsia="仿宋"/>
          <w:sz w:val="32"/>
          <w:szCs w:val="32"/>
        </w:rPr>
        <w:t>市交通局环路提升等10个项目开展重点绩效评价探索。目前评价报告已经形成，评价</w:t>
      </w:r>
      <w:r>
        <w:rPr>
          <w:rFonts w:hint="eastAsia" w:ascii="仿宋" w:hAnsi="仿宋" w:eastAsia="仿宋"/>
          <w:sz w:val="32"/>
          <w:szCs w:val="32"/>
          <w:lang w:eastAsia="zh-CN"/>
        </w:rPr>
        <w:t>等级</w:t>
      </w:r>
      <w:r>
        <w:rPr>
          <w:rFonts w:hint="eastAsia" w:ascii="仿宋" w:hAnsi="仿宋" w:eastAsia="仿宋"/>
          <w:sz w:val="32"/>
          <w:szCs w:val="32"/>
        </w:rPr>
        <w:t>为优的3户，为良的6户，为中的1户。</w:t>
      </w:r>
      <w:r>
        <w:rPr>
          <w:rFonts w:hint="eastAsia" w:ascii="仿宋" w:hAnsi="仿宋" w:eastAsia="仿宋"/>
          <w:sz w:val="32"/>
          <w:szCs w:val="32"/>
          <w:lang w:eastAsia="zh-CN"/>
        </w:rPr>
        <w:t>共反映问题</w:t>
      </w:r>
      <w:r>
        <w:rPr>
          <w:rFonts w:hint="eastAsia" w:ascii="仿宋" w:hAnsi="仿宋" w:eastAsia="仿宋"/>
          <w:sz w:val="32"/>
          <w:szCs w:val="32"/>
          <w:lang w:val="en-US" w:eastAsia="zh-CN"/>
        </w:rPr>
        <w:t>41</w:t>
      </w:r>
      <w:r>
        <w:rPr>
          <w:rFonts w:hint="eastAsia" w:ascii="仿宋" w:hAnsi="仿宋" w:eastAsia="仿宋"/>
          <w:sz w:val="32"/>
          <w:szCs w:val="32"/>
          <w:lang w:eastAsia="zh-CN"/>
        </w:rPr>
        <w:t>条，提出建议</w:t>
      </w:r>
      <w:r>
        <w:rPr>
          <w:rFonts w:hint="eastAsia" w:ascii="仿宋" w:hAnsi="仿宋" w:eastAsia="仿宋"/>
          <w:sz w:val="32"/>
          <w:szCs w:val="32"/>
          <w:lang w:val="en-US" w:eastAsia="zh-CN"/>
        </w:rPr>
        <w:t>41</w:t>
      </w:r>
      <w:r>
        <w:rPr>
          <w:rFonts w:hint="eastAsia" w:ascii="仿宋" w:hAnsi="仿宋" w:eastAsia="仿宋"/>
          <w:sz w:val="32"/>
          <w:szCs w:val="32"/>
          <w:lang w:eastAsia="zh-CN"/>
        </w:rPr>
        <w:t>条。现将各项目评价主要情况公示</w:t>
      </w:r>
      <w:r>
        <w:rPr>
          <w:rFonts w:hint="eastAsia" w:ascii="仿宋" w:hAnsi="仿宋" w:eastAsia="仿宋"/>
          <w:sz w:val="32"/>
          <w:szCs w:val="32"/>
        </w:rPr>
        <w:t>如下</w:t>
      </w: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一、环路提升项目</w:t>
      </w:r>
      <w:r>
        <w:rPr>
          <w:rFonts w:ascii="黑体" w:hAnsi="黑体" w:eastAsia="黑体"/>
          <w:b/>
          <w:sz w:val="32"/>
          <w:szCs w:val="32"/>
        </w:rPr>
        <w:t>—</w:t>
      </w:r>
      <w:r>
        <w:rPr>
          <w:rFonts w:hint="eastAsia" w:ascii="黑体" w:hAnsi="黑体" w:eastAsia="黑体"/>
          <w:b/>
          <w:sz w:val="32"/>
          <w:szCs w:val="32"/>
        </w:rPr>
        <w:t>内侧工程</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本项目最终评价得分84.65分，评定等级为“良”。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1.项目由市政府直接指定实施单位、施工单位，未履行招标程序，导致合同无法备案，工程竣工决算延迟，工程款无法正常结算；</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2.项目竣工验收存在部分工程未按施工图设计标准施工；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3.实施单位申报的绩效目标指标存在内容不相关及未量化的情况，不利于绩效评价。</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1.政府项目投资均应依法履行公开招标程序；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2.加强竣工决算工作，缩短决算周期；</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3.政府投资项目各参与方要更加紧密配合，保障施工环境、工程建设顺利完成；</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4.项目绩效目标指标设置要更加科学合理。</w:t>
      </w: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二、2020年度市级储备粮油费用利息补贴</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本项目最终评价得分92.42分，评定等级为“优”。</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1.储备粮轮换未严格按照轮换计划执行，部分储备粮轮出后超过轮空期未及时轮入；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2.承储企业储备小包装油未按规定提出轮换计划也无批准文件，台账未记录轮换情况，主管部门也未实施有效监管；</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3.承储任务分配给自身不具备承储能力的企业，分配不合理且增加储存成本；</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4.未对产出指标进一步细化和量化，绩效目标设置不完整，目标设置不够规范。</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1.承储企业严格按照轮换计划执行轮出、轮入，严格按照轮换计划规定的时限、轮换品种和数量进行轮换，不得超过规定的轮换架空期；</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按照《新乡市市级储备粮轮换管理办法》及相关文件的规定于每年年初提出轮换计划，做好台账登记，坚持专账核算、专人保管、单独存储，加强储备油轮换监管，确保成品油的数量真实、质量完好、储存安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3.合理安排承储任务，降低储存成本；</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4.合理规范制定项目绩效考核目标，细化、量化目标值；</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5.推广采用储粮新技术，确保粮食储存安全。</w:t>
      </w: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三、原阳县堤南引黄灌区水源工程改造项目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本项目最终评价得分85.5分，评定等级为“良”。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1.项目管理单位监管不力，项目建设期延期较长，合同约定工期100天，因施工方及图纸变更、征地拆迁等原因工期延长224天；</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2.项目预算编制不严谨、不准确，项目工程缺乏严格有效的管理，造成项目预算执行率较低，影响资金的使用效益；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3.运行单位部分管理制度实施存在未有效执行或执行不到位问题；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4.财务基础管理不规范，项目后期未实行专账核算，会计资料归档不及时，不利于项目财务管理。</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cs="Times New Roman"/>
          <w:sz w:val="32"/>
          <w:szCs w:val="32"/>
        </w:rPr>
      </w:pPr>
      <w:r>
        <w:rPr>
          <w:rFonts w:ascii="仿宋" w:hAnsi="仿宋" w:eastAsia="仿宋" w:cs="Times New Roman"/>
          <w:sz w:val="32"/>
          <w:szCs w:val="32"/>
        </w:rPr>
        <w:t>1.建议建立健全工作推进机制，及时沟通协调，保障各项工作顺利开展，同时加强对施工单位的监督管理，确保工程按时保质完成。</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2.建议加强预算管理，项目管理单位应结合年度工作任务进度和绩效目标精准编制预算，加强对专项资金预算的审核及监督管理，提高资金使用效益。</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3.建议运营单位加强运行维护管理，对制度执行全过程的监督，改善农业生产条件，促进滩区经济发展，实现项目的长期效益。</w:t>
      </w:r>
    </w:p>
    <w:p>
      <w:pPr>
        <w:spacing w:line="360" w:lineRule="auto"/>
        <w:ind w:firstLine="640" w:firstLineChars="200"/>
        <w:rPr>
          <w:rFonts w:hint="eastAsia" w:ascii="楷体" w:hAnsi="楷体" w:eastAsia="楷体"/>
          <w:b/>
          <w:sz w:val="32"/>
          <w:szCs w:val="32"/>
        </w:rPr>
      </w:pPr>
      <w:r>
        <w:rPr>
          <w:rFonts w:ascii="仿宋" w:hAnsi="仿宋" w:eastAsia="仿宋" w:cs="Times New Roman"/>
          <w:sz w:val="32"/>
          <w:szCs w:val="32"/>
        </w:rPr>
        <w:t>4.建议加强完善财务管理制度，严格按照资金管理办法的规定管好项目资金，按照《会计基础规范》的要求，规范整理保管会计档案。</w:t>
      </w:r>
    </w:p>
    <w:p>
      <w:pPr>
        <w:spacing w:line="360" w:lineRule="auto"/>
        <w:jc w:val="center"/>
        <w:rPr>
          <w:rFonts w:hint="eastAsia" w:ascii="宋体" w:hAnsi="宋体" w:eastAsia="宋体"/>
          <w:b/>
          <w:sz w:val="44"/>
          <w:szCs w:val="44"/>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四、2020年度残疾人两项补贴</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本项目最终评价得分87.75分，评定等级为“良”。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1.因部分县(市、区)预算编制不精准、两项补贴资金预算收入超实际支出，形成预算资金结余，提前拨付下年补贴资金；</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2.部分县(市、区)存在补贴对象死亡或低保转特殊供养情况而不再符合享受两项补贴的条件时，由于信息更新缓慢，当月依然发放补贴，退出管理不及时；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3.部分县(市、区)存在未按规定时间发放两项补贴的问题，个别县市区存在发放频次各异、发放进度滞后的现象；</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4.对服务对象调查反映补贴金额较低、帮扶效果有限。</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1.强化预算资金编制的科学性、准确性，预算编制内容应考虑上年度资金结余，相应编制预算调整方案；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对两项补贴资金的管理，各级民政与残联相关部门应加强沟通协调，将“两项补贴”审核与残疾人的资格条件比对时间同步进行，实行按月比对，按月发放，杜绝出现因信息不畅，而造成人员残疾等级变化、退出低保、死亡等不符合发放的条件时还在发放补贴的情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民政、财政、残联部门按照《新乡市困难残疾人生活补贴和重度残疾人护理补贴实施办法》规定程序履行职责，规定时间内将两项补贴金额转入代发金融机构账户，金融机构应在资金到位后每月10日前将当月补贴资金转入补贴对象账户；</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4.建议结合我市实际情况，逐步提高两项补贴的补贴标准，按照残疾人的不同困难程度制定分档补贴标准，加大补贴力度，扩大补贴范围，起到更好的帮扶效果。</w:t>
      </w:r>
    </w:p>
    <w:p>
      <w:pPr>
        <w:spacing w:line="360" w:lineRule="auto"/>
        <w:jc w:val="center"/>
        <w:rPr>
          <w:rFonts w:hint="eastAsia" w:ascii="宋体" w:hAnsi="宋体" w:eastAsia="宋体"/>
          <w:b/>
          <w:sz w:val="44"/>
          <w:szCs w:val="44"/>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五、2020年市城乡居民医保补助资金</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本项目最终评价得分85.99分，评定等级为“良”。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1.项目绩效目标设置存在不合理之处，医保部门未对项目开展绩效自评，绩效管理意识不强；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2.医保部门对医保政策宣传力度不够，不能最大程度保障城乡居民享受医保待遇；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3.医保部门对经办商业保险机构的监管机制不够健全，对定点医疗机构的监管有待加强；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4.2020年基本医保综合参保率较上年略有下降，尚存在重复参保情况；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5.医保支付方式改革的实施进度较慢，按病种（组）付费支付方式2020年尚未开始执行；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6.2020年城乡居民医保基金当年收不抵支，滚存结余逐年减少，基金支出压力逐步显现；</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7.基金财务管理存在账户设置不符合规定的问题。</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1.医保部门要强化绩效管理意识，科学合理设置绩效目标，年末开展绩效自评；</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2.医保部门要加大政策宣传力度，提高群众对参保意义和政策的知晓度，调动参保缴费的积极性。加强对参保人员的信息审核，避免重复参保；</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3.医保部门应健全对商业保险机构的监管机制，规范与商业保险机构的合作，进一步加强对定点医疗机构的监管，确保医保基金安全运行；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4.根据国家推进医保支付方式改革的要求，实施按病种付费为主的多元复合式医保支付方式，实现医疗资源配置与使用效益的最大化；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5.健全城乡居民医保基金财务管理制度，规范基金财务管理；强化基金监督管理，提高医保资金使用效率。</w:t>
      </w:r>
    </w:p>
    <w:p>
      <w:pPr>
        <w:spacing w:line="360" w:lineRule="auto"/>
        <w:ind w:firstLine="640" w:firstLineChars="200"/>
        <w:rPr>
          <w:rFonts w:hint="eastAsia" w:ascii="仿宋" w:hAnsi="仿宋" w:eastAsia="仿宋"/>
          <w:sz w:val="32"/>
          <w:szCs w:val="32"/>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六、2020年度免费开展预防出生缺陷产前筛查和新生儿疾病筛查及产前诊断项目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本项目最终评价得分90.25分，评定等级为“优”。</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1.未严格按照方案要求实施。应对孕11-13+6周进行产前超声筛查，2020年存在9周1例、23周1例。</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原始记录资料不完善、电子数据与原始记录不符、网络平台数据不稳定。根据对市幼保健院保存的血清学筛查原始记录抽查，封丘县、原阳县参筛人员原始记录中无户籍地证明资料；电子录入详细地址与原始资料详细地址不符；同一时点系统导出的明细数据与汇总报表数据不符。</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3.存在搭车检查收费的问题。文化街某参检人员反映市妇幼保健院在告知免费听力筛查的同时推销收费的听力检查项目。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4.资金结算不及时、资金结算文件未及时更新。</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5.部分县级配套资金未足额安排或未进行安排。资金结余较多，造成了预算资金的闲置，将异地结算资金直接转入县（市、区）卫健委自有资金账户不合理。</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1.建议各责任部门严格按照方案的要求实施，规避样本范围偏差。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2.加强质控管理原始资料应保持完整，且与网络电子数据保持一致，便于后期的随访与核查认定。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规范统一数据提取的时间节点，保持各责任部门的数据口径一致；强化信息建设，对于系统出现的汇总数据与明细数据差异的情况应及时向上级主管部门进行汇报，保持明细数据与汇总数据一致性，为上级决策及风险评估提供可靠依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4.在对参检人群提供免费项目时，非病情需要，应严禁向参检人员推荐收费检查项目。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5.对涉及范围广的项目，应及时更新相应的制度管理文件，以增强执行部门的制度约束性。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6.建议省、市级在安排预算资金时，在结算资金不足时再适用对县级配套资金的比例进行强制性要求，避免造成预算资金的闲置；建议将异地结算资金归集到属地财政局统一安排。</w:t>
      </w:r>
    </w:p>
    <w:p>
      <w:pPr>
        <w:spacing w:line="360" w:lineRule="auto"/>
        <w:ind w:firstLine="640" w:firstLineChars="200"/>
        <w:rPr>
          <w:rFonts w:hint="eastAsia" w:ascii="仿宋" w:hAnsi="仿宋" w:eastAsia="仿宋"/>
          <w:sz w:val="32"/>
          <w:szCs w:val="32"/>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七、2020年度交通信号灯及交通标线划设项目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本项目最终评价得分90.42分，评定等级为“优”。</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1.招标公告及成交通知书与合同约定工期不一致。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2.追加合同的付款条款与原合同付款条款不一致。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3.提前支付项目款。追加合同与原合同付款条款不一致，导致提前支付工程款。</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4.未制定施工计划。标线划设项目工程量大且涉及范围广，未制定明确的施工计划。</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5.随检记录不规范。未定期对项目实施过程进行规范的随检记录。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6.项目预算与实际情况脱节。</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1.加强政府采购合同签订与管理的学习及审核，严格按照相关制度规范执行，保障招标文件与合同的一致性。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2.支付工程款时，在追加合同与原合同约定条款不一致时，应选择节约国家资金的付款方式，避免造成国有资金浪费。</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3.对工作量大且涉及范围广的项目应制定详细的施工计划，并将施工计划通报项目可能涉及的相关部门，以规避因沟通协调不到位造成的窝工或重复工作的风险。</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4.随检记录应设置规范的使用表格，明确随检项目内容、时间及进度并形成阶段性工作量随检确认记录。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5.明确立项资金来源的项目名称，给资金调配提供依据。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建议按投标文件要求由项目承标单位移交所有工程技术图纸等资料并妥善保存；建议项目实施单位应对保存的技术资料进行梳理并完善询价技术图纸等资料；建议项目实施单位设置、完善工作量与城市布局台账，深化预算前询价工作，并按城市规划现状进行预算金额及具体工作量明细的测算，使预算尽可能地接近实际需求，以实现全面预算计划与资源配置的功能，为项目预算的调整及实施的长效性提供依据。</w:t>
      </w:r>
    </w:p>
    <w:p>
      <w:pPr>
        <w:spacing w:line="360" w:lineRule="auto"/>
        <w:ind w:firstLine="640" w:firstLineChars="200"/>
        <w:rPr>
          <w:rFonts w:hint="eastAsia" w:ascii="仿宋" w:hAnsi="仿宋" w:eastAsia="仿宋"/>
          <w:sz w:val="32"/>
          <w:szCs w:val="32"/>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八、疫情联防联控智慧系统项目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ascii="仿宋" w:hAnsi="仿宋" w:eastAsia="仿宋"/>
          <w:sz w:val="32"/>
          <w:szCs w:val="32"/>
        </w:rPr>
        <w:t>本项目</w:t>
      </w:r>
      <w:r>
        <w:rPr>
          <w:rFonts w:hint="eastAsia" w:ascii="仿宋" w:hAnsi="仿宋" w:eastAsia="仿宋"/>
          <w:sz w:val="32"/>
          <w:szCs w:val="32"/>
        </w:rPr>
        <w:t>最终评价得分85.89分，评定等级为“良”。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1.在绩效目标的完整性方面项目所设立的量化目标不够完整，缺少技术相关指标及经济效益指标。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在项目管理制度方面缺少与项目配套的资金管理细则；在制度执行方面未对项目进行验收，未对项目相关资料进行归档；在项目质量方面未对项目制定相应的质量要求或标准，未对项目采取相应的项目质量检查、验收等必需的控制措施或手段；在财务管理方面项目的成本未按项目进行核算；未对项目采取相应的财务检查等必要监控措施或手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在产品技术方面项目所使用的技术是在智慧城市系统的基础上改进，并融合多项原创技术，无技术上的创新；产品在使用的过程中对特殊条件下的被测量人测出的体温不准确；系统未与其他系统联动，不能在更大范围内使用，对异常人员的追踪只能在使用该设备的范围内进行追踪，超出设备的使用范围便无法进行追踪。</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在项目产生的经济效益方面项目所研发的APP属客户定制，仅客户可以使用，并未被广泛的使用；项目产生的收入未达到验收考核的技术经济指标“相关项目合同金额不低于1000万元”；项目中的产品使用的范围并不广泛，仅节省了使用单位的人力资源；在项目产生的社会效益方面疫情联防联控智慧系统未与其他接口对接，信息共享情况不理想。</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1.完善绩效目标的设立，增加相关的经济效益指标和产品技术相关指标，如，技术先进性、人脸识别的成功率、测量体温的准确率、产生的收入等指标。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细化和补充针对项目的资金管理的配套文件；条件允许的情况下，分批次对已完成的项目进行验收，包括项目的质量及资金的使用，获取验收报告、技术鉴定等资料并及时进行归档；制定相应的项目质量要求或标准；要求项目的承接单位对项目的成本按项目进行核算。</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3.创新出能产生更大的经济和社会效益且适应疫情环境的产品；由政府相关部门进行协调将疫情联防联控智慧系统与相关部门的系统接轨，实现信息共享。</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4.大力推广疫情联防联控智慧系统，使开发的产品被广泛的使用，不仅可以增加项目产生的收入，还可以进一步的加大该项目所产生的社会效益和经济效益。</w:t>
      </w:r>
    </w:p>
    <w:p>
      <w:pPr>
        <w:spacing w:line="360" w:lineRule="auto"/>
        <w:ind w:firstLine="642" w:firstLineChars="200"/>
        <w:rPr>
          <w:rFonts w:hint="eastAsia" w:ascii="黑体" w:hAnsi="黑体" w:eastAsia="黑体"/>
          <w:b/>
          <w:sz w:val="32"/>
          <w:szCs w:val="32"/>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九、国土空间规划信息系统项目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ascii="仿宋" w:hAnsi="仿宋" w:eastAsia="仿宋"/>
          <w:sz w:val="32"/>
          <w:szCs w:val="32"/>
        </w:rPr>
        <w:t>本项目</w:t>
      </w:r>
      <w:r>
        <w:rPr>
          <w:rFonts w:hint="eastAsia" w:ascii="仿宋" w:hAnsi="仿宋" w:eastAsia="仿宋"/>
          <w:sz w:val="32"/>
          <w:szCs w:val="32"/>
        </w:rPr>
        <w:t>最终评价得分83分，评定等级为“良”。</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国土空间规划编制数据尚在审批中，以致于影响国土空间规划信息系统项目推进工作。</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加快国土空间规划编制数据的审批工作，推进国土空间规划信息系统项目建设，及早完成项目整体验收。</w:t>
      </w:r>
    </w:p>
    <w:p>
      <w:pPr>
        <w:spacing w:line="360" w:lineRule="auto"/>
        <w:ind w:firstLine="642" w:firstLineChars="200"/>
        <w:rPr>
          <w:rFonts w:hint="eastAsia" w:ascii="黑体" w:hAnsi="黑体" w:eastAsia="黑体"/>
          <w:b/>
          <w:sz w:val="32"/>
          <w:szCs w:val="32"/>
        </w:rPr>
      </w:pPr>
    </w:p>
    <w:p>
      <w:pPr>
        <w:spacing w:line="360" w:lineRule="auto"/>
        <w:ind w:firstLine="642" w:firstLineChars="200"/>
        <w:outlineLvl w:val="0"/>
        <w:rPr>
          <w:rFonts w:hint="eastAsia" w:ascii="黑体" w:hAnsi="黑体" w:eastAsia="黑体"/>
          <w:b/>
          <w:sz w:val="32"/>
          <w:szCs w:val="32"/>
        </w:rPr>
      </w:pPr>
      <w:r>
        <w:rPr>
          <w:rFonts w:hint="eastAsia" w:ascii="黑体" w:hAnsi="黑体" w:eastAsia="黑体"/>
          <w:b/>
          <w:sz w:val="32"/>
          <w:szCs w:val="32"/>
        </w:rPr>
        <w:t>十、先进制造业专业园区奖励资金项目</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（一）评价结论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本项目最终评价得分71.5分，评定等级为“中”。</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（二）主要问题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1.各评比单位评比打分过程透明度参差不齐，细化程度不一致，部分部门打分无法复核检验；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2.奖励资金使用绩效目标细则未设置、使用后效果评价体系尚未建立；</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3.各获奖园区奖金利用率有待提高。截至2020年12月31日7个获奖园区仅有3个园区使用了奖励资金1,418,446.00元。</w:t>
      </w:r>
    </w:p>
    <w:p>
      <w:pPr>
        <w:spacing w:line="360" w:lineRule="auto"/>
        <w:ind w:firstLine="642" w:firstLineChars="200"/>
        <w:rPr>
          <w:rFonts w:hint="eastAsia" w:ascii="楷体" w:hAnsi="楷体" w:eastAsia="楷体"/>
          <w:b/>
          <w:sz w:val="32"/>
          <w:szCs w:val="32"/>
        </w:rPr>
      </w:pPr>
      <w:r>
        <w:rPr>
          <w:rFonts w:hint="eastAsia" w:ascii="楷体" w:hAnsi="楷体" w:eastAsia="楷体"/>
          <w:b/>
          <w:sz w:val="32"/>
          <w:szCs w:val="32"/>
        </w:rPr>
        <w:t>（三）有关建议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1.细化各评分单位打分细则，统一打分细化程度，增强打分结果与打分过程双保存，提高评分结果复核检验度；</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2.根据评比结果加强奖金申请环节预算申报留存等档案管理制度；</w:t>
      </w:r>
    </w:p>
    <w:p>
      <w:pPr>
        <w:spacing w:line="360" w:lineRule="auto"/>
        <w:ind w:firstLine="640" w:firstLineChars="200"/>
        <w:rPr>
          <w:rFonts w:hint="eastAsia" w:ascii="黑体" w:hAnsi="黑体" w:eastAsia="黑体"/>
          <w:b/>
          <w:sz w:val="32"/>
          <w:szCs w:val="32"/>
        </w:rPr>
      </w:pPr>
      <w:r>
        <w:rPr>
          <w:rFonts w:hint="eastAsia" w:ascii="仿宋" w:hAnsi="仿宋" w:eastAsia="仿宋"/>
          <w:sz w:val="32"/>
          <w:szCs w:val="32"/>
        </w:rPr>
        <w:t>3.奖励资金申请前设置绩效目标，提高奖金使用效果评价体系。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C1"/>
    <w:rsid w:val="00062AC4"/>
    <w:rsid w:val="002B7486"/>
    <w:rsid w:val="00303BC1"/>
    <w:rsid w:val="00503559"/>
    <w:rsid w:val="009C7A6F"/>
    <w:rsid w:val="00FC17FC"/>
    <w:rsid w:val="659F6B92"/>
    <w:rsid w:val="B9D6FB83"/>
    <w:rsid w:val="BEBC82E2"/>
    <w:rsid w:val="FEE9D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792</Words>
  <Characters>4516</Characters>
  <Lines>37</Lines>
  <Paragraphs>10</Paragraphs>
  <TotalTime>2</TotalTime>
  <ScaleCrop>false</ScaleCrop>
  <LinksUpToDate>false</LinksUpToDate>
  <CharactersWithSpaces>5298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2022-02-15T00:58:00Z</dcterms:created>
  <dc:creator>Windows 用户</dc:creator>
  <cp:lastModifiedBy>administrator</cp:lastModifiedBy>
  <dcterms:modified xsi:type="dcterms:W3CDTF">2022-03-02T14:49:27Z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