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2019年度</w:t>
      </w:r>
    </w:p>
    <w:p>
      <w:pPr>
        <w:jc w:val="center"/>
        <w:rPr>
          <w:rFonts w:hint="eastAsia" w:ascii="黑体" w:hAnsi="黑体" w:eastAsia="黑体" w:cs="黑体"/>
          <w:sz w:val="52"/>
          <w:szCs w:val="52"/>
        </w:rPr>
      </w:pPr>
      <w:r>
        <w:rPr>
          <w:rFonts w:hint="eastAsia" w:ascii="黑体" w:hAnsi="黑体" w:eastAsia="黑体" w:cs="黑体"/>
          <w:sz w:val="52"/>
          <w:szCs w:val="52"/>
        </w:rPr>
        <w:t>新乡市司法局部门决算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二〇二〇年九月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新乡市司法局概况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5" w:type="default"/>
          <w:footerReference r:id="rId6"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新乡市司法局概况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ind w:firstLine="640"/>
        <w:rPr>
          <w:rFonts w:hint="eastAsia" w:ascii="仿宋_GB2312" w:eastAsia="仿宋_GB2312"/>
          <w:sz w:val="32"/>
          <w:szCs w:val="32"/>
        </w:rPr>
      </w:pPr>
      <w:r>
        <w:rPr>
          <w:rFonts w:hint="eastAsia" w:ascii="仿宋_GB2312" w:eastAsia="仿宋_GB2312"/>
          <w:sz w:val="32"/>
          <w:szCs w:val="32"/>
        </w:rPr>
        <w:t>新乡市司法局担负着全市法制宣传、法律服务、法律保障等三大任务，有12项社会职能，包括：指导管理市监狱、市第二强制隔离戒毒所开展教育改造，法律服务工作的管理，开展法律援助应援尽援，实施法制宣传教育和依法治理，对基层司法行政部门业务指导培训，开展矛盾纠纷排查调处，做好刑释人员安置帮教和社区矫正工作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乡市监狱是国家的刑罚执行机关，主要职责是贯彻执行《监狱法》和监狱工作方针、政策，按照惩罚与改造、教育与劳动相结合的原则，依法对罪犯收监、监管，对罪犯实行分押分管，搞好警戒；组织罪犯从事生产劳动，进行思想、文化、技术教育；处理罪犯提出的申诉、控告、检举和监外执行、减刑假释、保外就医、加刑、释放等工作。</w:t>
      </w:r>
    </w:p>
    <w:p>
      <w:pPr>
        <w:spacing w:line="580" w:lineRule="exact"/>
        <w:ind w:firstLine="640" w:firstLineChars="200"/>
        <w:rPr>
          <w:rFonts w:hint="eastAsia" w:ascii="仿宋_GB2312" w:eastAsia="仿宋_GB2312"/>
          <w:bCs/>
          <w:sz w:val="32"/>
          <w:szCs w:val="32"/>
        </w:rPr>
      </w:pPr>
      <w:r>
        <w:rPr>
          <w:rFonts w:hint="eastAsia" w:ascii="仿宋_GB2312" w:eastAsia="仿宋_GB2312"/>
          <w:sz w:val="32"/>
          <w:szCs w:val="32"/>
        </w:rPr>
        <w:t>新乡市第二强制隔离戒毒所</w:t>
      </w:r>
      <w:r>
        <w:rPr>
          <w:rFonts w:hint="eastAsia" w:ascii="仿宋_GB2312" w:eastAsia="仿宋_GB2312"/>
          <w:bCs/>
          <w:sz w:val="32"/>
          <w:szCs w:val="32"/>
        </w:rPr>
        <w:t>按照规定承担强制隔离戒毒职能。</w:t>
      </w:r>
    </w:p>
    <w:p>
      <w:pPr>
        <w:ind w:firstLine="640"/>
        <w:rPr>
          <w:rFonts w:hint="eastAsia" w:ascii="楷体_GB2312" w:hAnsi="宋体" w:eastAsia="楷体_GB2312" w:cs="Courier New"/>
          <w:kern w:val="0"/>
          <w:sz w:val="32"/>
          <w:szCs w:val="32"/>
        </w:rPr>
      </w:pPr>
      <w:r>
        <w:rPr>
          <w:rFonts w:hint="eastAsia" w:ascii="仿宋_GB2312" w:eastAsia="仿宋_GB2312"/>
          <w:sz w:val="32"/>
          <w:szCs w:val="32"/>
        </w:rPr>
        <w:t>新乡市看守大队主要职责是负责我市监狱的武装看守执勤，监外押解和看押，协助监狱抓捕脱逃罪犯，处置监狱突发事件，维护监狱的正常秩序。</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eastAsia="仿宋_GB2312"/>
          <w:sz w:val="32"/>
          <w:szCs w:val="32"/>
        </w:rPr>
        <w:t>新乡市司法局内设11个职能科室和新乡市监狱（</w:t>
      </w:r>
      <w:r>
        <w:rPr>
          <w:rFonts w:hint="eastAsia" w:ascii="仿宋_GB2312" w:hAnsi="仿宋_GB2312" w:eastAsia="仿宋_GB2312" w:cs="仿宋_GB2312"/>
          <w:sz w:val="32"/>
          <w:szCs w:val="32"/>
        </w:rPr>
        <w:t>内设办公室等25个职能部门</w:t>
      </w:r>
      <w:r>
        <w:rPr>
          <w:rFonts w:hint="eastAsia" w:ascii="仿宋_GB2312" w:eastAsia="仿宋_GB2312"/>
          <w:sz w:val="32"/>
          <w:szCs w:val="32"/>
        </w:rPr>
        <w:t>）、新乡市第二强制隔离戒毒所（内设19个职能科室）、新乡市看守大队三个归口预算单位。</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从决算单位构成看，新乡市司法局部门决算包括：本级决算、所属单位决算。</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纳入本部门2019年度部门决算编制范围的单位共4个，其中二级预算单位3个，具体是：</w:t>
      </w:r>
    </w:p>
    <w:p>
      <w:pPr>
        <w:spacing w:line="600" w:lineRule="exact"/>
        <w:rPr>
          <w:rFonts w:hint="eastAsia" w:ascii="仿宋_GB2312" w:eastAsia="仿宋_GB2312"/>
          <w:sz w:val="32"/>
          <w:szCs w:val="32"/>
        </w:rPr>
      </w:pPr>
      <w:r>
        <w:rPr>
          <w:rFonts w:hint="eastAsia" w:ascii="仿宋_GB2312" w:eastAsia="仿宋_GB2312"/>
          <w:sz w:val="32"/>
          <w:szCs w:val="32"/>
        </w:rPr>
        <w:t xml:space="preserve">    1.新乡市司法局机关本级</w:t>
      </w:r>
    </w:p>
    <w:p>
      <w:pPr>
        <w:spacing w:line="600" w:lineRule="exact"/>
        <w:rPr>
          <w:rFonts w:hint="eastAsia" w:ascii="仿宋" w:hAnsi="仿宋" w:eastAsia="仿宋" w:cs="仿宋"/>
          <w:sz w:val="32"/>
          <w:szCs w:val="32"/>
        </w:rPr>
      </w:pPr>
      <w:r>
        <w:rPr>
          <w:rFonts w:hint="eastAsia" w:ascii="仿宋_GB2312" w:eastAsia="仿宋_GB2312"/>
          <w:sz w:val="32"/>
          <w:szCs w:val="32"/>
        </w:rPr>
        <w:t xml:space="preserve">    2.新乡市监狱</w:t>
      </w:r>
    </w:p>
    <w:p>
      <w:pPr>
        <w:spacing w:line="600" w:lineRule="exact"/>
        <w:rPr>
          <w:rFonts w:hint="eastAsia" w:ascii="仿宋" w:hAnsi="仿宋" w:eastAsia="仿宋" w:cs="仿宋"/>
          <w:sz w:val="32"/>
          <w:szCs w:val="32"/>
        </w:rPr>
      </w:pPr>
      <w:r>
        <w:rPr>
          <w:rFonts w:hint="eastAsia" w:ascii="仿宋_GB2312" w:eastAsia="仿宋_GB2312"/>
          <w:sz w:val="32"/>
          <w:szCs w:val="32"/>
        </w:rPr>
        <w:t xml:space="preserve">    3.新乡市第二强制隔离戒毒所</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eastAsia="仿宋_GB2312"/>
          <w:sz w:val="32"/>
          <w:szCs w:val="32"/>
        </w:rPr>
        <w:t>4.新乡市看守大队</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027"/>
        <w:gridCol w:w="59"/>
        <w:gridCol w:w="2144"/>
        <w:gridCol w:w="680"/>
        <w:gridCol w:w="803"/>
        <w:gridCol w:w="339"/>
        <w:gridCol w:w="411"/>
        <w:gridCol w:w="221"/>
        <w:gridCol w:w="713"/>
        <w:gridCol w:w="388"/>
        <w:gridCol w:w="231"/>
        <w:gridCol w:w="914"/>
        <w:gridCol w:w="639"/>
        <w:gridCol w:w="678"/>
        <w:gridCol w:w="875"/>
        <w:gridCol w:w="440"/>
        <w:gridCol w:w="1114"/>
        <w:gridCol w:w="527"/>
        <w:gridCol w:w="105"/>
        <w:gridCol w:w="1513"/>
        <w:gridCol w:w="25"/>
      </w:tblGrid>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6"/>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6"/>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新乡市司法局</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一、一般公共预算财政拨款收入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9,491.90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29</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二、政府性基金预算财政拨款收入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30</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三、上级补助收入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31</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四、事业收入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32</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8,173.01</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五、经营收入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33</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六、附属单位上缴收入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34</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七、其他收入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7</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44.08</w:t>
            </w: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cs="宋体"/>
                <w:kern w:val="0"/>
                <w:sz w:val="24"/>
                <w:szCs w:val="24"/>
              </w:rPr>
            </w:pPr>
            <w:r>
              <w:rPr>
                <w:rFonts w:hint="eastAsia" w:ascii="宋体" w:hAnsi="宋体" w:cs="宋体"/>
                <w:color w:val="000000"/>
                <w:kern w:val="0"/>
                <w:sz w:val="22"/>
              </w:rPr>
              <w:t>七、文化旅游体育与传媒支出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35</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8</w:t>
            </w:r>
          </w:p>
        </w:tc>
        <w:tc>
          <w:tcPr>
            <w:tcW w:w="11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八、社会保障和就业支出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36</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1,228.26</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b/>
                <w:bCs/>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9</w:t>
            </w:r>
          </w:p>
        </w:tc>
        <w:tc>
          <w:tcPr>
            <w:tcW w:w="110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textAlignment w:val="center"/>
              <w:rPr>
                <w:rFonts w:ascii="宋体" w:hAnsi="宋体" w:cs="宋体"/>
                <w:b/>
                <w:bCs/>
                <w:kern w:val="0"/>
                <w:sz w:val="22"/>
              </w:rPr>
            </w:pPr>
            <w:r>
              <w:rPr>
                <w:rFonts w:hint="eastAsia" w:ascii="宋体" w:hAnsi="宋体" w:cs="宋体"/>
                <w:color w:val="000000"/>
                <w:kern w:val="0"/>
                <w:sz w:val="22"/>
              </w:rPr>
              <w:t>九、卫生健康支出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37</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b/>
                <w:bCs/>
                <w:kern w:val="0"/>
                <w:sz w:val="22"/>
              </w:rPr>
            </w:pPr>
            <w:r>
              <w:rPr>
                <w:rFonts w:hint="eastAsia" w:ascii="宋体" w:hAnsi="宋体" w:cs="宋体"/>
                <w:color w:val="000000"/>
                <w:kern w:val="0"/>
                <w:sz w:val="22"/>
              </w:rPr>
              <w:t>389.57</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10</w:t>
            </w:r>
          </w:p>
        </w:tc>
        <w:tc>
          <w:tcPr>
            <w:tcW w:w="110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十、节能环保支出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38</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11</w:t>
            </w:r>
          </w:p>
        </w:tc>
        <w:tc>
          <w:tcPr>
            <w:tcW w:w="110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39</w:t>
            </w:r>
          </w:p>
        </w:tc>
        <w:tc>
          <w:tcPr>
            <w:tcW w:w="1513" w:type="dxa"/>
            <w:tcBorders>
              <w:top w:val="nil"/>
              <w:left w:val="nil"/>
              <w:bottom w:val="single" w:color="auto" w:sz="4" w:space="0"/>
              <w:right w:val="single" w:color="auto" w:sz="8"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12</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cs="宋体"/>
                <w:kern w:val="0"/>
                <w:sz w:val="22"/>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kern w:val="0"/>
                <w:sz w:val="22"/>
              </w:rPr>
            </w:pPr>
            <w:r>
              <w:rPr>
                <w:rFonts w:hint="eastAsia" w:ascii="宋体" w:hAnsi="宋体" w:cs="宋体"/>
                <w:color w:val="000000"/>
                <w:kern w:val="0"/>
                <w:sz w:val="22"/>
              </w:rPr>
              <w:t>十二、农林水支出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ascii="宋体" w:hAnsi="宋体" w:cs="宋体"/>
                <w:kern w:val="0"/>
                <w:sz w:val="22"/>
              </w:rPr>
            </w:pPr>
            <w:r>
              <w:rPr>
                <w:rFonts w:hint="eastAsia" w:ascii="宋体" w:hAnsi="宋体" w:cs="宋体"/>
                <w:color w:val="000000"/>
                <w:kern w:val="0"/>
                <w:sz w:val="22"/>
              </w:rPr>
              <w:t>40</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3.00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13</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kern w:val="0"/>
                <w:sz w:val="22"/>
              </w:rPr>
            </w:pPr>
            <w:r>
              <w:rPr>
                <w:rFonts w:hint="eastAsia" w:ascii="宋体" w:hAnsi="宋体" w:cs="宋体"/>
                <w:color w:val="000000"/>
                <w:kern w:val="0"/>
                <w:sz w:val="22"/>
              </w:rPr>
              <w:t>十三、交通运输支出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41</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14</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kern w:val="0"/>
                <w:sz w:val="22"/>
              </w:rPr>
            </w:pPr>
            <w:r>
              <w:rPr>
                <w:rFonts w:hint="eastAsia" w:ascii="宋体" w:hAnsi="宋体" w:cs="宋体"/>
                <w:color w:val="000000"/>
                <w:kern w:val="0"/>
                <w:sz w:val="22"/>
              </w:rPr>
              <w:t>十四、资源勘探信息等支出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42</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15</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kern w:val="0"/>
                <w:sz w:val="22"/>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kern w:val="0"/>
                <w:sz w:val="22"/>
              </w:rPr>
            </w:pPr>
            <w:r>
              <w:rPr>
                <w:rFonts w:hint="eastAsia" w:ascii="宋体" w:hAnsi="宋体" w:cs="宋体"/>
                <w:color w:val="000000"/>
                <w:kern w:val="0"/>
                <w:sz w:val="22"/>
              </w:rPr>
              <w:t>十五、商业服务业等支出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kern w:val="0"/>
                <w:sz w:val="22"/>
              </w:rPr>
            </w:pPr>
            <w:r>
              <w:rPr>
                <w:rFonts w:hint="eastAsia" w:ascii="宋体" w:hAnsi="宋体" w:cs="宋体"/>
                <w:color w:val="000000"/>
                <w:kern w:val="0"/>
                <w:sz w:val="22"/>
              </w:rPr>
              <w:t>43</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16</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十六、金融支出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44</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17</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十七、援助其他地区支出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45</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18</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十八、自然资源海洋气象等支出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46</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19</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十九、住房保障支出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47</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20</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二十、粮油物资储备支出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48</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21</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二十一、灾害防治及应急管理支出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49</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22</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二十二、其他支出</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50</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kern w:val="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kern w:val="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51</w:t>
            </w:r>
          </w:p>
        </w:tc>
        <w:tc>
          <w:tcPr>
            <w:tcW w:w="1513" w:type="dxa"/>
            <w:tcBorders>
              <w:top w:val="single" w:color="auto" w:sz="4" w:space="0"/>
              <w:left w:val="single" w:color="auto" w:sz="4" w:space="0"/>
              <w:bottom w:val="single" w:color="auto" w:sz="4" w:space="0"/>
              <w:right w:val="single" w:color="auto" w:sz="4" w:space="0"/>
            </w:tcBorders>
            <w:noWrap/>
            <w:vAlign w:val="center"/>
          </w:tcPr>
          <w:p>
            <w:pPr>
              <w:jc w:val="right"/>
              <w:rPr>
                <w:rFonts w:hint="eastAsia" w:ascii="宋体" w:hAnsi="宋体" w:cs="宋体"/>
                <w:b/>
                <w:color w:val="000000"/>
                <w:sz w:val="20"/>
                <w:szCs w:val="20"/>
              </w:rPr>
            </w:pP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本年收入合计</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24</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9,535.98</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本年支出合计</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52</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b/>
                <w:color w:val="000000"/>
                <w:sz w:val="20"/>
                <w:szCs w:val="20"/>
              </w:rPr>
            </w:pPr>
            <w:r>
              <w:rPr>
                <w:rFonts w:hint="eastAsia" w:ascii="宋体" w:hAnsi="宋体" w:cs="宋体"/>
                <w:color w:val="000000"/>
                <w:kern w:val="0"/>
                <w:sz w:val="22"/>
              </w:rPr>
              <w:t>9,793.83</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用事业基金弥补收支差额</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25</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结余分配</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53</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年初结转和结余</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26</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482.29</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年末结转和结余</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54</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224.44</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27</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cs="宋体"/>
                <w:color w:val="000000"/>
                <w:sz w:val="20"/>
                <w:szCs w:val="20"/>
              </w:rPr>
            </w:pP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cs="宋体"/>
                <w:color w:val="000000"/>
                <w:sz w:val="20"/>
                <w:szCs w:val="20"/>
              </w:rPr>
            </w:pP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55</w:t>
            </w:r>
          </w:p>
        </w:tc>
        <w:tc>
          <w:tcPr>
            <w:tcW w:w="15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总计</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28</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10,018.27</w:t>
            </w:r>
          </w:p>
        </w:tc>
        <w:tc>
          <w:tcPr>
            <w:tcW w:w="489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总计</w:t>
            </w:r>
          </w:p>
        </w:tc>
        <w:tc>
          <w:tcPr>
            <w:tcW w:w="63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56</w:t>
            </w:r>
          </w:p>
        </w:tc>
        <w:tc>
          <w:tcPr>
            <w:tcW w:w="1513"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hint="eastAsia" w:ascii="宋体" w:hAnsi="宋体" w:cs="宋体"/>
                <w:b/>
                <w:color w:val="000000"/>
                <w:sz w:val="20"/>
                <w:szCs w:val="20"/>
              </w:rPr>
            </w:pPr>
            <w:r>
              <w:rPr>
                <w:rFonts w:hint="eastAsia" w:ascii="宋体" w:hAnsi="宋体" w:cs="宋体"/>
                <w:color w:val="000000"/>
                <w:kern w:val="0"/>
                <w:sz w:val="22"/>
              </w:rPr>
              <w:t>10,018.27</w:t>
            </w:r>
          </w:p>
        </w:tc>
      </w:tr>
      <w:tr>
        <w:tblPrEx>
          <w:tblCellMar>
            <w:top w:w="0" w:type="dxa"/>
            <w:left w:w="108" w:type="dxa"/>
            <w:bottom w:w="0" w:type="dxa"/>
            <w:right w:w="108" w:type="dxa"/>
          </w:tblCellMar>
        </w:tblPrEx>
        <w:trPr>
          <w:gridAfter w:val="1"/>
          <w:wAfter w:w="25" w:type="dxa"/>
          <w:trHeight w:val="405" w:hRule="atLeast"/>
        </w:trPr>
        <w:tc>
          <w:tcPr>
            <w:tcW w:w="13821" w:type="dxa"/>
            <w:gridSpan w:val="20"/>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32"/>
                <w:szCs w:val="32"/>
              </w:rPr>
            </w:pPr>
          </w:p>
          <w:p>
            <w:pPr>
              <w:widowControl/>
              <w:jc w:val="center"/>
              <w:textAlignment w:val="center"/>
              <w:rPr>
                <w:rFonts w:hint="eastAsia" w:ascii="华文中宋" w:hAnsi="华文中宋" w:eastAsia="华文中宋" w:cs="华文中宋"/>
                <w:color w:val="000000"/>
                <w:kern w:val="0"/>
                <w:sz w:val="32"/>
                <w:szCs w:val="32"/>
              </w:rPr>
            </w:pPr>
          </w:p>
          <w:p>
            <w:pPr>
              <w:widowControl/>
              <w:jc w:val="center"/>
              <w:textAlignment w:val="center"/>
              <w:rPr>
                <w:rFonts w:hint="eastAsia" w:ascii="华文中宋" w:hAnsi="华文中宋" w:eastAsia="华文中宋" w:cs="华文中宋"/>
                <w:color w:val="000000"/>
                <w:kern w:val="0"/>
                <w:sz w:val="32"/>
                <w:szCs w:val="32"/>
              </w:rPr>
            </w:pPr>
          </w:p>
          <w:p>
            <w:pPr>
              <w:widowControl/>
              <w:jc w:val="center"/>
              <w:textAlignment w:val="center"/>
              <w:rPr>
                <w:rFonts w:hint="eastAsia"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4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8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323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新乡市司法局</w:t>
            </w:r>
          </w:p>
        </w:tc>
        <w:tc>
          <w:tcPr>
            <w:tcW w:w="68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230"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148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本年收入合计</w:t>
            </w:r>
          </w:p>
        </w:tc>
        <w:tc>
          <w:tcPr>
            <w:tcW w:w="1684"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财政拨款收入</w:t>
            </w:r>
          </w:p>
        </w:tc>
        <w:tc>
          <w:tcPr>
            <w:tcW w:w="1533"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上级补助收入</w:t>
            </w:r>
          </w:p>
        </w:tc>
        <w:tc>
          <w:tcPr>
            <w:tcW w:w="13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事业收入</w:t>
            </w:r>
          </w:p>
        </w:tc>
        <w:tc>
          <w:tcPr>
            <w:tcW w:w="13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科目编码</w:t>
            </w:r>
          </w:p>
        </w:tc>
        <w:tc>
          <w:tcPr>
            <w:tcW w:w="214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84"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rPr>
            </w:pPr>
          </w:p>
        </w:tc>
        <w:tc>
          <w:tcPr>
            <w:tcW w:w="153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3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21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84"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rPr>
            </w:pPr>
          </w:p>
        </w:tc>
        <w:tc>
          <w:tcPr>
            <w:tcW w:w="153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3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3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230"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53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3230"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9,535.98</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9,491.90</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44.08</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公共安全支出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7,915.16</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7,871.07</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44.08</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司法</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华文中宋" w:hAnsi="华文中宋" w:eastAsia="华文中宋" w:cs="华文中宋"/>
                <w:color w:val="000000"/>
                <w:sz w:val="20"/>
                <w:szCs w:val="20"/>
              </w:rPr>
            </w:pPr>
            <w:r>
              <w:rPr>
                <w:rFonts w:hint="eastAsia" w:ascii="宋体" w:hAnsi="宋体" w:cs="宋体"/>
                <w:color w:val="000000"/>
                <w:kern w:val="0"/>
                <w:sz w:val="22"/>
              </w:rPr>
              <w:t>1,889.55</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1,889.55</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2040601</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2040602</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2040604</w:t>
            </w:r>
          </w:p>
        </w:tc>
        <w:tc>
          <w:tcPr>
            <w:tcW w:w="21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基层司法业务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c>
          <w:tcPr>
            <w:tcW w:w="16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c>
          <w:tcPr>
            <w:tcW w:w="1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2040605</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普法宣传</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2040607</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法律援助</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2040608</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国家统一法律职业资格考试</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34.32</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34.32</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2040610</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社区矫正</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其他司法支出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295.90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295.90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监狱</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3,684.60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3,673.99</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10.61</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2040702</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33.75</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33.75</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2040704</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犯人生活</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2040706</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狱政设施建设</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10.61</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10.61</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其他监狱支出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279.84</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279.84</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强制隔离戒毒</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2,162.68</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2,129.21</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33.47</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2040804</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强制隔离戒毒人员生活</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其他强制隔离戒毒支出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212.34</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178.87</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33.47</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其他公共安全支出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其他公共安全支出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社会保障和就业支出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行政事业单位离退休</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归口管理的行政单位离退休</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2080505</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机关事业单位基本养老保险缴费支出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抚恤</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死亡抚恤</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其他社会保障和就业支出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其他社会保障和就业支出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卫生健康支出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行政事业单位医疗</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行政单位医疗</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2101103</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公务员医疗补助</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农林水支出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农业</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2130199</w:t>
            </w:r>
          </w:p>
        </w:tc>
        <w:tc>
          <w:tcPr>
            <w:tcW w:w="214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其他农业支出</w:t>
            </w:r>
          </w:p>
        </w:tc>
        <w:tc>
          <w:tcPr>
            <w:tcW w:w="14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68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33"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3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20"/>
        <w:gridCol w:w="63"/>
        <w:gridCol w:w="27"/>
        <w:gridCol w:w="2487"/>
        <w:gridCol w:w="636"/>
        <w:gridCol w:w="1080"/>
        <w:gridCol w:w="722"/>
        <w:gridCol w:w="862"/>
        <w:gridCol w:w="939"/>
        <w:gridCol w:w="644"/>
        <w:gridCol w:w="1158"/>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8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3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3697"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新乡市司法局</w:t>
            </w:r>
          </w:p>
        </w:tc>
        <w:tc>
          <w:tcPr>
            <w:tcW w:w="63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69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171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本年支出合计</w:t>
            </w:r>
          </w:p>
        </w:tc>
        <w:tc>
          <w:tcPr>
            <w:tcW w:w="158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基本支出</w:t>
            </w:r>
          </w:p>
        </w:tc>
        <w:tc>
          <w:tcPr>
            <w:tcW w:w="158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项目支出</w:t>
            </w:r>
          </w:p>
        </w:tc>
        <w:tc>
          <w:tcPr>
            <w:tcW w:w="159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科目编码</w:t>
            </w:r>
          </w:p>
        </w:tc>
        <w:tc>
          <w:tcPr>
            <w:tcW w:w="251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171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251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71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59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97"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栏次</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3697"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9,793.83</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8,067.77</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1,726.06</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公共安全支出</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8,173.01</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6,449.95</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1,723.06</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司法</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1,889.45</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635.86</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2040601</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2040602</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2040604</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基层司法业务</w:t>
            </w:r>
          </w:p>
        </w:tc>
        <w:tc>
          <w:tcPr>
            <w:tcW w:w="17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c>
          <w:tcPr>
            <w:tcW w:w="1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2040605</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普法宣传</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2040607</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法律援助</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2040608</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国家统一法律职业资格考试</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39.34</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39.34</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2040610</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社区矫正</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其他司法支出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290.78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290.78</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监狱</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3,958.37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3,229.47</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728.90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2040702</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33.75</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29.25</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2040704</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犯人生活</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2040706</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狱政设施建设</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287.51</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287.51</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其他监狱支出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276.71</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276.71</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强制隔离戒毒</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2,146.87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321.69</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2040804</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强制隔离戒毒人员生活</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其他强制隔离戒毒支出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196.53</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196.53</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其他公共安全支出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141.71</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36.61</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其他公共安全支出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141.71</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36.61</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社会保障和就业支出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行政事业单位离退休</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归口管理的行政单位离退休</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2080505</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机关事业单位基本养老保险缴费支出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抚恤</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死亡抚恤</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其他社会保障和就业支出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其他社会保障和就业支出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卫生健康支出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行政事业单位医疗</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行政单位医疗</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2101103</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公务员医疗补助</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农林水支出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农业</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2130199</w:t>
            </w:r>
          </w:p>
        </w:tc>
        <w:tc>
          <w:tcPr>
            <w:tcW w:w="251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其他农业支出</w:t>
            </w:r>
          </w:p>
        </w:tc>
        <w:tc>
          <w:tcPr>
            <w:tcW w:w="171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58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59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3994"/>
        <w:gridCol w:w="720"/>
        <w:gridCol w:w="1210"/>
        <w:gridCol w:w="3400"/>
        <w:gridCol w:w="597"/>
        <w:gridCol w:w="1126"/>
        <w:gridCol w:w="925"/>
        <w:gridCol w:w="336"/>
        <w:gridCol w:w="1680"/>
      </w:tblGrid>
      <w:tr>
        <w:tblPrEx>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部门：</w:t>
            </w:r>
            <w:r>
              <w:rPr>
                <w:rFonts w:hint="eastAsia" w:ascii="宋体" w:hAnsi="宋体" w:cs="宋体"/>
                <w:color w:val="000000"/>
                <w:sz w:val="20"/>
                <w:szCs w:val="20"/>
              </w:rPr>
              <w:t>新乡市司法局</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1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2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9,491.90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30</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31</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32</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33</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8,099.73</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8,099.73</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34</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35</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36</w:t>
            </w:r>
          </w:p>
        </w:tc>
        <w:tc>
          <w:tcPr>
            <w:tcW w:w="112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2"/>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37</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2"/>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38</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2"/>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39</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2"/>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40</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2"/>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2"/>
              </w:rPr>
              <w:t>41</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42</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b/>
                <w:color w:val="000000"/>
                <w:sz w:val="20"/>
                <w:szCs w:val="20"/>
              </w:rPr>
            </w:pPr>
            <w:r>
              <w:rPr>
                <w:rFonts w:hint="eastAsia" w:ascii="宋体" w:hAnsi="宋体" w:cs="宋体"/>
                <w:color w:val="000000"/>
                <w:kern w:val="0"/>
                <w:sz w:val="22"/>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43</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44</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45</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46</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47</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b/>
                <w:color w:val="000000"/>
                <w:sz w:val="20"/>
                <w:szCs w:val="20"/>
              </w:rPr>
            </w:pPr>
            <w:r>
              <w:rPr>
                <w:rFonts w:hint="eastAsia" w:ascii="宋体" w:hAnsi="宋体" w:cs="宋体"/>
                <w:color w:val="000000"/>
                <w:kern w:val="0"/>
                <w:sz w:val="22"/>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48</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b/>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49</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50</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51</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kern w:val="0"/>
                <w:sz w:val="22"/>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52</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kern w:val="0"/>
                <w:sz w:val="22"/>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9,491.90</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b/>
                <w:color w:val="000000"/>
                <w:kern w:val="0"/>
                <w:sz w:val="22"/>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53</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9,720.55</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9,720.55</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b/>
                <w:color w:val="000000"/>
                <w:sz w:val="20"/>
                <w:szCs w:val="20"/>
              </w:rPr>
            </w:pPr>
            <w:r>
              <w:rPr>
                <w:rFonts w:hint="eastAsia" w:ascii="宋体" w:hAnsi="宋体" w:cs="宋体"/>
                <w:color w:val="000000"/>
                <w:kern w:val="0"/>
                <w:sz w:val="22"/>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307.38</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54</w:t>
            </w:r>
          </w:p>
        </w:tc>
        <w:tc>
          <w:tcPr>
            <w:tcW w:w="112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78.73</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78.73</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b/>
                <w:color w:val="000000"/>
                <w:sz w:val="20"/>
                <w:szCs w:val="20"/>
              </w:rPr>
            </w:pPr>
            <w:r>
              <w:rPr>
                <w:rFonts w:hint="eastAsia" w:ascii="宋体" w:hAnsi="宋体" w:cs="宋体"/>
                <w:color w:val="000000"/>
                <w:kern w:val="0"/>
                <w:sz w:val="22"/>
              </w:rPr>
              <w:t>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26</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307.38</w:t>
            </w:r>
          </w:p>
        </w:tc>
        <w:tc>
          <w:tcPr>
            <w:tcW w:w="3400"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kern w:val="0"/>
                <w:sz w:val="22"/>
              </w:rPr>
            </w:pPr>
          </w:p>
        </w:tc>
        <w:tc>
          <w:tcPr>
            <w:tcW w:w="5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55</w:t>
            </w:r>
          </w:p>
        </w:tc>
        <w:tc>
          <w:tcPr>
            <w:tcW w:w="1126"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261"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680"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kern w:val="0"/>
                <w:sz w:val="22"/>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b/>
                <w:color w:val="000000"/>
                <w:sz w:val="20"/>
                <w:szCs w:val="20"/>
              </w:rPr>
            </w:pPr>
            <w:r>
              <w:rPr>
                <w:rFonts w:hint="eastAsia" w:ascii="宋体" w:hAnsi="宋体" w:cs="宋体"/>
                <w:color w:val="000000"/>
                <w:kern w:val="0"/>
                <w:sz w:val="22"/>
              </w:rPr>
              <w:t>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27</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cs="宋体"/>
                <w:color w:val="000000"/>
                <w:kern w:val="0"/>
                <w:sz w:val="22"/>
              </w:rPr>
            </w:pPr>
          </w:p>
        </w:tc>
        <w:tc>
          <w:tcPr>
            <w:tcW w:w="5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56</w:t>
            </w:r>
          </w:p>
        </w:tc>
        <w:tc>
          <w:tcPr>
            <w:tcW w:w="112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261"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eastAsia" w:ascii="宋体" w:hAnsi="宋体" w:cs="宋体"/>
                <w:color w:val="000000"/>
                <w:kern w:val="0"/>
                <w:sz w:val="22"/>
              </w:rPr>
            </w:pPr>
          </w:p>
        </w:tc>
      </w:tr>
      <w:tr>
        <w:tblPrEx>
          <w:tblCellMar>
            <w:top w:w="0" w:type="dxa"/>
            <w:left w:w="0" w:type="dxa"/>
            <w:bottom w:w="0" w:type="dxa"/>
            <w:right w:w="0" w:type="dxa"/>
          </w:tblCellMar>
        </w:tblPrEx>
        <w:trPr>
          <w:trHeight w:val="402" w:hRule="atLeast"/>
        </w:trPr>
        <w:tc>
          <w:tcPr>
            <w:tcW w:w="3994" w:type="dxa"/>
            <w:tcBorders>
              <w:top w:val="single" w:color="auto"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b/>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28</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3400"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kern w:val="0"/>
                <w:sz w:val="22"/>
              </w:rPr>
            </w:pPr>
          </w:p>
        </w:tc>
        <w:tc>
          <w:tcPr>
            <w:tcW w:w="5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57</w:t>
            </w:r>
          </w:p>
        </w:tc>
        <w:tc>
          <w:tcPr>
            <w:tcW w:w="1126" w:type="dxa"/>
            <w:tcBorders>
              <w:top w:val="single" w:color="auto"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261" w:type="dxa"/>
            <w:gridSpan w:val="2"/>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kern w:val="0"/>
                <w:sz w:val="22"/>
              </w:rPr>
            </w:pPr>
          </w:p>
        </w:tc>
        <w:tc>
          <w:tcPr>
            <w:tcW w:w="1680" w:type="dxa"/>
            <w:tcBorders>
              <w:top w:val="single" w:color="auto"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color w:val="000000"/>
                <w:kern w:val="0"/>
                <w:sz w:val="22"/>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2"/>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29</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9,799.28</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b/>
                <w:color w:val="000000"/>
                <w:kern w:val="0"/>
                <w:sz w:val="22"/>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58</w:t>
            </w:r>
          </w:p>
        </w:tc>
        <w:tc>
          <w:tcPr>
            <w:tcW w:w="1126" w:type="dxa"/>
            <w:tcBorders>
              <w:top w:val="single" w:color="000000" w:sz="4" w:space="0"/>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9,799.28</w:t>
            </w:r>
          </w:p>
        </w:tc>
        <w:tc>
          <w:tcPr>
            <w:tcW w:w="1261"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9,799.28</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w:t>
            </w:r>
            <w:r>
              <w:rPr>
                <w:rStyle w:val="19"/>
                <w:rFonts w:hint="default"/>
              </w:rPr>
              <w:t>5表</w:t>
            </w:r>
          </w:p>
        </w:tc>
      </w:tr>
      <w:tr>
        <w:tblPrEx>
          <w:tblCellMar>
            <w:top w:w="0" w:type="dxa"/>
            <w:left w:w="0" w:type="dxa"/>
            <w:bottom w:w="0" w:type="dxa"/>
            <w:right w:w="0" w:type="dxa"/>
          </w:tblCellMar>
        </w:tblPrEx>
        <w:trPr>
          <w:trHeight w:val="300" w:hRule="atLeast"/>
        </w:trPr>
        <w:tc>
          <w:tcPr>
            <w:tcW w:w="726"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部门：</w:t>
            </w:r>
          </w:p>
        </w:tc>
        <w:tc>
          <w:tcPr>
            <w:tcW w:w="291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新乡市司法局</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项 </w:t>
            </w:r>
            <w:r>
              <w:rPr>
                <w:rStyle w:val="22"/>
                <w:rFonts w:hint="default"/>
                <w:sz w:val="20"/>
                <w:szCs w:val="20"/>
              </w:rPr>
              <w:t xml:space="preserve">   </w:t>
            </w:r>
            <w:r>
              <w:rPr>
                <w:rStyle w:val="21"/>
                <w:rFonts w:hint="default"/>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9,720.55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8,067.77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b/>
                <w:color w:val="000000"/>
                <w:kern w:val="0"/>
                <w:sz w:val="22"/>
              </w:rPr>
              <w:t>1,652.78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公共安全支出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8,099.73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6,449.95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1,649.78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司法</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1,889.45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635.86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1,253.59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174.74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2040604</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基层司法业务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9.00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普法宣传</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67.50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2040607</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法律援助</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2040608</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国家统一法律职业资格考试</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39.34</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39.34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社区矫正</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2040699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其他司法支出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290.78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290.78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监狱</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3,918.65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3,229.47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689.18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3,200.22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一般行政管理事务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33.75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29.25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犯人生活</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160.18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2040706</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狱政设施建设</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247.79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247.79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2040799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其他监狱支出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276.71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276.71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强制隔离戒毒</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2,113.30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288.12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1,825.18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强制隔离戒毒人员生活</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125.16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2040899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其他强制隔离戒毒支出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162.96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162.96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其他公共安全支出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141.71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36.61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2049901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其他公共安全支出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178.32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141.71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36.61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社会保障和就业支出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1,228.26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1,210.45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归口管理的行政单位离退休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754.75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抚恤</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2080801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死亡抚恤</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4.07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其他社会保障和就业支出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2089901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其他社会保障和就业支出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389.57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行政单位医疗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2101103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公务员医疗补助</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农业</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2130199</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rPr>
              <w:t xml:space="preserve">  其他农业支出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3.00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870"/>
        <w:gridCol w:w="3114"/>
        <w:gridCol w:w="1046"/>
        <w:gridCol w:w="571"/>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04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57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870"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ascii="Arial" w:hAnsi="Arial" w:cs="Arial"/>
                <w:color w:val="000000"/>
                <w:kern w:val="0"/>
                <w:sz w:val="20"/>
                <w:szCs w:val="20"/>
              </w:rPr>
              <w:t>部门：</w:t>
            </w:r>
          </w:p>
        </w:tc>
        <w:tc>
          <w:tcPr>
            <w:tcW w:w="3114"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sz w:val="20"/>
                <w:szCs w:val="20"/>
              </w:rPr>
              <w:t>新乡市司法局</w:t>
            </w:r>
          </w:p>
        </w:tc>
        <w:tc>
          <w:tcPr>
            <w:tcW w:w="104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571"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104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c>
          <w:tcPr>
            <w:tcW w:w="571"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工资福利支出</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6,709.52</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594.28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基本工资</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1,551.96</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47.01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津贴补贴</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1,980.47</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奖金</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1,946.03</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6.32</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伙食补助费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绩效工资</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6.03</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455.70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11.70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0.29</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5.06</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196.01</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193.56</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13.74</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19.97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住房公积金</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367.00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医疗费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对个人和家庭的补助</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757.65</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离休费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23.99</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退休费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497.72</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0.89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退职（役）费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抚恤金</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2.65</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1.74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生活补助</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111.99</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救济费</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医疗费补助</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助学金</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68.72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奖励金</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120.89</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84.10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26.95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0.41</w:t>
            </w: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283.11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10.39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5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人员经费合计</w:t>
            </w:r>
          </w:p>
        </w:tc>
        <w:tc>
          <w:tcPr>
            <w:tcW w:w="104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2"/>
              </w:rPr>
              <w:t>7,467.17</w:t>
            </w:r>
          </w:p>
        </w:tc>
        <w:tc>
          <w:tcPr>
            <w:tcW w:w="802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部门：</w:t>
            </w:r>
          </w:p>
        </w:tc>
        <w:tc>
          <w:tcPr>
            <w:tcW w:w="2299"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sz w:val="20"/>
                <w:szCs w:val="20"/>
              </w:rPr>
              <w:t>新乡市司法局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68.70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67.20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32.79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34.41</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2"/>
              </w:rPr>
              <w:t>1.50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68.46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67.20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32.79</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34.41</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2"/>
              </w:rPr>
              <w:t>1.26</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16"/>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8"/>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部门：</w:t>
            </w:r>
          </w:p>
        </w:tc>
        <w:tc>
          <w:tcPr>
            <w:tcW w:w="3738"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sz w:val="20"/>
                <w:szCs w:val="20"/>
              </w:rPr>
              <w:t>新乡市司法局</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说明：我部门没有政府性基金收入，也没有使用政府性基金安排的支</w:t>
      </w:r>
      <w:bookmarkStart w:id="0" w:name="_GoBack"/>
      <w:bookmarkEnd w:id="0"/>
      <w:r>
        <w:rPr>
          <w:rFonts w:hint="eastAsia" w:ascii="仿宋_GB2312" w:hAnsi="仿宋_GB2312" w:eastAsia="仿宋_GB2312" w:cs="仿宋_GB2312"/>
          <w:sz w:val="32"/>
          <w:szCs w:val="32"/>
          <w:highlight w:val="none"/>
        </w:rPr>
        <w:t>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2019年度收入总计为9535.98万元，支出总计为9793.83万元。与上年度相比，收入总计减少7223.74万元，下降43.1%，支出总计减少922.8万元，下降8.61%。收入减少主要原因是市监狱改扩建项目及市监狱罪犯分流；支出减少主要原因是市监狱改扩建项目及市监狱罪犯分流。</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2019年度收入合计9535.98万元，其中：财政拨款收入9491.89万元，占99.54%；其他收入44.08万元，占0.46%。</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2019年度支出合计9793.83万元，其中：基本支出8067.77万元，占82.38%；项目支出1726.06万元，占17.62%。</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2019年度财政拨款收入总计为9</w:t>
      </w:r>
      <w:r>
        <w:rPr>
          <w:rFonts w:hint="eastAsia" w:ascii="仿宋_GB2312" w:hAnsi="仿宋_GB2312" w:eastAsia="仿宋_GB2312" w:cs="仿宋_GB2312"/>
          <w:sz w:val="32"/>
          <w:szCs w:val="32"/>
          <w:lang w:val="en-US" w:eastAsia="zh-CN"/>
        </w:rPr>
        <w:t>799.28</w:t>
      </w:r>
      <w:r>
        <w:rPr>
          <w:rFonts w:hint="eastAsia" w:ascii="仿宋_GB2312" w:hAnsi="仿宋_GB2312" w:eastAsia="仿宋_GB2312" w:cs="仿宋_GB2312"/>
          <w:sz w:val="32"/>
          <w:szCs w:val="32"/>
        </w:rPr>
        <w:t>万元，支出总计为97</w:t>
      </w:r>
      <w:r>
        <w:rPr>
          <w:rFonts w:hint="eastAsia" w:ascii="仿宋_GB2312" w:hAnsi="仿宋_GB2312" w:eastAsia="仿宋_GB2312" w:cs="仿宋_GB2312"/>
          <w:sz w:val="32"/>
          <w:szCs w:val="32"/>
          <w:lang w:val="en-US" w:eastAsia="zh-CN"/>
        </w:rPr>
        <w:t>99.28</w:t>
      </w:r>
      <w:r>
        <w:rPr>
          <w:rFonts w:hint="eastAsia" w:ascii="仿宋_GB2312" w:hAnsi="仿宋_GB2312" w:eastAsia="仿宋_GB2312" w:cs="仿宋_GB2312"/>
          <w:sz w:val="32"/>
          <w:szCs w:val="32"/>
        </w:rPr>
        <w:t>万元。与上年度相比，财政拨款收入总计减少</w:t>
      </w:r>
      <w:r>
        <w:rPr>
          <w:rFonts w:hint="eastAsia" w:ascii="仿宋_GB2312" w:hAnsi="仿宋_GB2312" w:eastAsia="仿宋_GB2312" w:cs="仿宋_GB2312"/>
          <w:sz w:val="32"/>
          <w:szCs w:val="32"/>
          <w:lang w:val="en-US" w:eastAsia="zh-CN"/>
        </w:rPr>
        <w:t>6952.91</w:t>
      </w:r>
      <w:r>
        <w:rPr>
          <w:rFonts w:hint="eastAsia" w:ascii="仿宋_GB2312" w:hAnsi="仿宋_GB2312" w:eastAsia="仿宋_GB2312" w:cs="仿宋_GB2312"/>
          <w:sz w:val="32"/>
          <w:szCs w:val="32"/>
        </w:rPr>
        <w:t>万元，下降4</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%，支出总计减少</w:t>
      </w:r>
      <w:r>
        <w:rPr>
          <w:rFonts w:hint="eastAsia" w:ascii="仿宋_GB2312" w:hAnsi="仿宋_GB2312" w:eastAsia="仿宋_GB2312" w:cs="仿宋_GB2312"/>
          <w:sz w:val="32"/>
          <w:szCs w:val="32"/>
          <w:lang w:val="en-US" w:eastAsia="zh-CN"/>
        </w:rPr>
        <w:t>6952.91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41.5</w:t>
      </w:r>
      <w:r>
        <w:rPr>
          <w:rFonts w:hint="eastAsia" w:ascii="仿宋_GB2312" w:hAnsi="仿宋_GB2312" w:eastAsia="仿宋_GB2312" w:cs="仿宋_GB2312"/>
          <w:sz w:val="32"/>
          <w:szCs w:val="32"/>
        </w:rPr>
        <w:t>%。收入减少主要原因是市监狱改扩建项目及市监狱罪犯分流；支出减少主要原因是市监狱改扩建项目及市监狱罪犯分流。</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2019年度一般公共预算财政拨款支出9720.55万元，占本年支出合计的100%。与上年度相比，一般公共预算财政拨款支出减少913.91万元，下降8.59%。主要原因是市监狱改扩建项目及市监狱罪犯分流。</w:t>
      </w: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2019年度一般公共预算财政拨款支出9720.55万元，主要用于以下方面：一般公共服务（类）支出9720.55万元，占100%。</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2019年度一般公共预算财政拨款支出年初预算为15244.6万元，支出决算为9720.55万元，完成年初预算的63.76%。其中：主要原因是市监狱改扩建项目及市监狱罪犯分流。</w:t>
      </w:r>
    </w:p>
    <w:p>
      <w:pPr>
        <w:widowControl/>
        <w:spacing w:line="590" w:lineRule="exact"/>
        <w:ind w:firstLine="643"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1．公共安全（类）司法（款）行政运行（项）。</w:t>
      </w:r>
      <w:r>
        <w:rPr>
          <w:rFonts w:hint="eastAsia" w:ascii="仿宋_GB2312" w:hAnsi="仿宋_GB2312" w:eastAsia="仿宋_GB2312" w:cs="仿宋_GB2312"/>
          <w:sz w:val="32"/>
          <w:szCs w:val="32"/>
        </w:rPr>
        <w:t>年初预算为7908.64万元，支出决算为6278.99万元，完成年初预算的79.39%。决算数与年初预算数存在差异的主要原因是市监狱罪犯分流。</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2．公共安全（类）司法（款）一般行政事务管理（项）。</w:t>
      </w:r>
      <w:r>
        <w:rPr>
          <w:rFonts w:hint="eastAsia" w:ascii="仿宋_GB2312" w:hAnsi="仿宋_GB2312" w:eastAsia="仿宋_GB2312" w:cs="仿宋_GB2312"/>
          <w:sz w:val="32"/>
          <w:szCs w:val="32"/>
        </w:rPr>
        <w:t>年初预算为340.5万元，支出决算为340.5万元，完成年初预算的100%。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8067.77万元。其中：人员经费7467.17万元，主要包括：基本工资、津贴补贴、伙食补助费、绩效工资、机关事业单位基本养老保险缴费、职业年金缴费、职工基本医疗保险缴费、公务员医疗补助缴费、其他社会保障缴费、住房公积金、医疗费、其他工资福利支出、离休费、退休费、抚恤金、生活补助、奖励金、其他对个人和家庭的补助；公用经费600.6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2019年度“三公”经费财政拨款支出预算为68.7万元，支出决算为68.46万元，完成预算的99.65%。2019年度“三公”经费支出决算数与预算数存在差异的主要原因是厉行节约。</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67.20万元，完成预算的100%，占98.16%；公务接待费支出决算1.26万元，完成预算的84%，占1.84%。具体情况如下：保障基本上级领导来新指导检查工作公务接待。</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预算为0万元，支出决算为0万元，完成预算的0%。全年因公出国（境）团组0个，累计0人次。</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预算为67.20万元，支出决算为67.20万元，完成预算的100%。</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为32.79万元，购置车辆2辆，其中执法执勤车2辆。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34.41万元。主要用于车辆维修维护。2019年期末，部门开支财政拨款的公务用车保有量为3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预算为1.50万元，支出决算为1.26万元，完成预算的84%。决算数与预算数存在差异的主要原因是厉行节约。其中：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1.26万元。2019年共接待国内来访团组34个、来宾226人次（不包括陪同人员）。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我部门组织对2019年度一般公共预算项目法律援助支出全面开展绩效自评，共涉及项目1个，资金50万元，占运转类项目支出总额的27.82%。从评价情况来看，基本能按年初预算执行。和2018年度决算数持平。</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组织开展整体支出绩效评价，从评价情况来看，年初预算根据财政要求，单位按财政制定的标准编制法律援助项目的预算，预算规定的法律援助项目标准过低不能保证单位正常运转，使得单位要求财政调整预算。</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政法转移支付装备专款：我部门今年在部门决算中反映所有项目绩效自评结果（涉密项目除外）。</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法转移支付装备专款项目绩效自评综述：项目全年预算数为90万元，执行数为90万元，完成预算的100%。主要产出和效果：一是升级了全市法律援助热线系统，建设了司法部点名系统;二是档案室密集架及装具及档案整理;效果是改善了业务办公条件，营造良好的办公环境，让工作人员安心服务工作，提高了办事效率。比2018年度决算数持平。</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（三）以部门为主体开展的重点绩效评价结果。</w:t>
      </w:r>
    </w:p>
    <w:p>
      <w:pPr>
        <w:widowControl/>
        <w:spacing w:line="59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财政相关要求，我部门对2019年的重点项目进行了自评，自评结果如下：1、法律援助预期指标值为450件，实际完成值为754件，完成预期指标的167.55%，评分100分；2、人民调解组织调解疑难复杂矛盾纠纷数量预期指标值为171件，实际完成值为599件，完成预期指标值的350.29%，评分100分；3、社区服刑人员再犯罪率为0.18%，评分98分。</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政府性基金预算财政拨款支出年初预算为0万元，支出决算为0万元，完成年初预算的0%。其中0等项目年末结转和结余资金数额较大，主要原因：我部门2019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初预算为208.49万元，支出决算为208.49万元，完成年初预算的100%，比年初预算数增加（减少）0万元，增长（降低）0%。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276.87万元，其中：政府采购货物支出170.68万元、政府采购工程支出55.82万元、政府采购服务支出50.37万元。授予中小企业合同金额139万元，占政府采购支出总额的50.2%，其中：授予小微企业合同金额0万元，占政府采购支出总额的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31辆，其中：省级领导干部用车0辆、主要领导干部用车0辆、机要通信用车1辆、应急保障车1辆、执法执勤用车24辆、特种专业技术用车0辆、离退休干部用车1辆、其他用车4辆，其他用车主要是公务用车；单位价值50万元以上通用设备0台（套），单位价值100万元以上专用设备0台（套）。</w:t>
      </w:r>
    </w:p>
    <w:p>
      <w:pPr>
        <w:widowControl/>
        <w:jc w:val="left"/>
        <w:rPr>
          <w:rFonts w:hint="eastAsia" w:ascii="楷体_GB2312" w:hAnsi="楷体_GB2312" w:eastAsia="楷体_GB2312" w:cs="楷体_GB2312"/>
          <w:sz w:val="32"/>
          <w:szCs w:val="32"/>
          <w:highlight w:val="yellow"/>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sectPr>
      <w:pgSz w:w="11906" w:h="16838"/>
      <w:pgMar w:top="1928" w:right="1474" w:bottom="1701"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9F"/>
    <w:rsid w:val="000270E8"/>
    <w:rsid w:val="00057AFD"/>
    <w:rsid w:val="00076410"/>
    <w:rsid w:val="000875A3"/>
    <w:rsid w:val="00094E62"/>
    <w:rsid w:val="000C073B"/>
    <w:rsid w:val="000C2647"/>
    <w:rsid w:val="001003F8"/>
    <w:rsid w:val="00131BAE"/>
    <w:rsid w:val="00144159"/>
    <w:rsid w:val="0015578D"/>
    <w:rsid w:val="001718A8"/>
    <w:rsid w:val="00182842"/>
    <w:rsid w:val="001905F2"/>
    <w:rsid w:val="001B250B"/>
    <w:rsid w:val="001D61B1"/>
    <w:rsid w:val="001E1F7D"/>
    <w:rsid w:val="001F5040"/>
    <w:rsid w:val="002006EB"/>
    <w:rsid w:val="002406FA"/>
    <w:rsid w:val="00260D70"/>
    <w:rsid w:val="00282C7F"/>
    <w:rsid w:val="00287811"/>
    <w:rsid w:val="002903F8"/>
    <w:rsid w:val="002961DB"/>
    <w:rsid w:val="002A22C4"/>
    <w:rsid w:val="002B0D12"/>
    <w:rsid w:val="002B3F94"/>
    <w:rsid w:val="002D3E5E"/>
    <w:rsid w:val="002E6A86"/>
    <w:rsid w:val="00304326"/>
    <w:rsid w:val="00304D04"/>
    <w:rsid w:val="00305B88"/>
    <w:rsid w:val="00315FEB"/>
    <w:rsid w:val="003578C6"/>
    <w:rsid w:val="0039179F"/>
    <w:rsid w:val="003B6571"/>
    <w:rsid w:val="003B6EF5"/>
    <w:rsid w:val="004054E4"/>
    <w:rsid w:val="0042585F"/>
    <w:rsid w:val="00427C53"/>
    <w:rsid w:val="00445CAC"/>
    <w:rsid w:val="00454941"/>
    <w:rsid w:val="00472E19"/>
    <w:rsid w:val="00487869"/>
    <w:rsid w:val="004D5275"/>
    <w:rsid w:val="00507364"/>
    <w:rsid w:val="00546F7C"/>
    <w:rsid w:val="005A0C2F"/>
    <w:rsid w:val="005B1AE2"/>
    <w:rsid w:val="005B1C3F"/>
    <w:rsid w:val="005B4A24"/>
    <w:rsid w:val="006228C4"/>
    <w:rsid w:val="006512DD"/>
    <w:rsid w:val="00656BEF"/>
    <w:rsid w:val="00656D75"/>
    <w:rsid w:val="00657D66"/>
    <w:rsid w:val="00657E86"/>
    <w:rsid w:val="00673EF7"/>
    <w:rsid w:val="0069449E"/>
    <w:rsid w:val="006B0F7D"/>
    <w:rsid w:val="006B6436"/>
    <w:rsid w:val="006C07F0"/>
    <w:rsid w:val="006C644A"/>
    <w:rsid w:val="006C7D84"/>
    <w:rsid w:val="00707BD8"/>
    <w:rsid w:val="007148E8"/>
    <w:rsid w:val="00733DAA"/>
    <w:rsid w:val="00742BA0"/>
    <w:rsid w:val="00753545"/>
    <w:rsid w:val="007613BB"/>
    <w:rsid w:val="00764156"/>
    <w:rsid w:val="007706D7"/>
    <w:rsid w:val="0077280E"/>
    <w:rsid w:val="007879ED"/>
    <w:rsid w:val="007A48A3"/>
    <w:rsid w:val="007A550C"/>
    <w:rsid w:val="007C029F"/>
    <w:rsid w:val="007C7F49"/>
    <w:rsid w:val="007D2A21"/>
    <w:rsid w:val="0082526E"/>
    <w:rsid w:val="00826815"/>
    <w:rsid w:val="00843461"/>
    <w:rsid w:val="00872946"/>
    <w:rsid w:val="0088023A"/>
    <w:rsid w:val="008818E9"/>
    <w:rsid w:val="0088254D"/>
    <w:rsid w:val="008858FB"/>
    <w:rsid w:val="00894B41"/>
    <w:rsid w:val="008B5427"/>
    <w:rsid w:val="008D354A"/>
    <w:rsid w:val="008F1C35"/>
    <w:rsid w:val="00903F6B"/>
    <w:rsid w:val="009173F9"/>
    <w:rsid w:val="00975A04"/>
    <w:rsid w:val="009A09E3"/>
    <w:rsid w:val="009B04A4"/>
    <w:rsid w:val="009C5E24"/>
    <w:rsid w:val="009F546E"/>
    <w:rsid w:val="00A079F0"/>
    <w:rsid w:val="00A57BF7"/>
    <w:rsid w:val="00A81452"/>
    <w:rsid w:val="00A83D8A"/>
    <w:rsid w:val="00A93E7D"/>
    <w:rsid w:val="00AA260E"/>
    <w:rsid w:val="00AA44CB"/>
    <w:rsid w:val="00AA67CD"/>
    <w:rsid w:val="00AC2764"/>
    <w:rsid w:val="00AC4266"/>
    <w:rsid w:val="00AD6761"/>
    <w:rsid w:val="00AE600E"/>
    <w:rsid w:val="00B0083B"/>
    <w:rsid w:val="00B209B8"/>
    <w:rsid w:val="00B249F3"/>
    <w:rsid w:val="00B710DD"/>
    <w:rsid w:val="00BB3FD2"/>
    <w:rsid w:val="00BE5A85"/>
    <w:rsid w:val="00BF5718"/>
    <w:rsid w:val="00C052E1"/>
    <w:rsid w:val="00C1157A"/>
    <w:rsid w:val="00C25FAD"/>
    <w:rsid w:val="00C3106E"/>
    <w:rsid w:val="00C60609"/>
    <w:rsid w:val="00C95CC1"/>
    <w:rsid w:val="00C97266"/>
    <w:rsid w:val="00CA3F44"/>
    <w:rsid w:val="00CE212D"/>
    <w:rsid w:val="00CE2EFB"/>
    <w:rsid w:val="00CE4B38"/>
    <w:rsid w:val="00CF55A6"/>
    <w:rsid w:val="00D1321A"/>
    <w:rsid w:val="00D30ADF"/>
    <w:rsid w:val="00D338A3"/>
    <w:rsid w:val="00D6315E"/>
    <w:rsid w:val="00D652C2"/>
    <w:rsid w:val="00D74EE2"/>
    <w:rsid w:val="00D81301"/>
    <w:rsid w:val="00D83E19"/>
    <w:rsid w:val="00DA00C9"/>
    <w:rsid w:val="00DB200E"/>
    <w:rsid w:val="00DB65F5"/>
    <w:rsid w:val="00E0106A"/>
    <w:rsid w:val="00E01C3E"/>
    <w:rsid w:val="00E13099"/>
    <w:rsid w:val="00E24448"/>
    <w:rsid w:val="00E4339F"/>
    <w:rsid w:val="00E533D3"/>
    <w:rsid w:val="00E629EA"/>
    <w:rsid w:val="00E63E5F"/>
    <w:rsid w:val="00E6777C"/>
    <w:rsid w:val="00EB05A3"/>
    <w:rsid w:val="00ED38B7"/>
    <w:rsid w:val="00EE051D"/>
    <w:rsid w:val="00EE078D"/>
    <w:rsid w:val="00EE3C4D"/>
    <w:rsid w:val="00F0131A"/>
    <w:rsid w:val="00F14C17"/>
    <w:rsid w:val="00F17041"/>
    <w:rsid w:val="00F44937"/>
    <w:rsid w:val="00F61A47"/>
    <w:rsid w:val="00F84422"/>
    <w:rsid w:val="00F95455"/>
    <w:rsid w:val="00FA574D"/>
    <w:rsid w:val="00FE7AD9"/>
    <w:rsid w:val="00FF710C"/>
    <w:rsid w:val="01322275"/>
    <w:rsid w:val="019B717E"/>
    <w:rsid w:val="01BD5298"/>
    <w:rsid w:val="01DC6F05"/>
    <w:rsid w:val="02A3489A"/>
    <w:rsid w:val="02CA138D"/>
    <w:rsid w:val="02E238C3"/>
    <w:rsid w:val="033646FC"/>
    <w:rsid w:val="03C75F80"/>
    <w:rsid w:val="0478364D"/>
    <w:rsid w:val="04AF4BA4"/>
    <w:rsid w:val="050E70CD"/>
    <w:rsid w:val="053D4C0D"/>
    <w:rsid w:val="0557532E"/>
    <w:rsid w:val="079921D9"/>
    <w:rsid w:val="0799329C"/>
    <w:rsid w:val="086F16A7"/>
    <w:rsid w:val="09467B3F"/>
    <w:rsid w:val="0980745E"/>
    <w:rsid w:val="09CA6EFC"/>
    <w:rsid w:val="0A0F7225"/>
    <w:rsid w:val="0A2B7D82"/>
    <w:rsid w:val="0ADC40E9"/>
    <w:rsid w:val="0AE607F4"/>
    <w:rsid w:val="0B451598"/>
    <w:rsid w:val="0BEC73F4"/>
    <w:rsid w:val="0C392698"/>
    <w:rsid w:val="0D224EC2"/>
    <w:rsid w:val="0F7C00C1"/>
    <w:rsid w:val="10BD36F6"/>
    <w:rsid w:val="11BF0649"/>
    <w:rsid w:val="123E3E08"/>
    <w:rsid w:val="12F66B4A"/>
    <w:rsid w:val="136F4F0F"/>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9F4924"/>
    <w:rsid w:val="27B0539E"/>
    <w:rsid w:val="280D48C5"/>
    <w:rsid w:val="29365CF8"/>
    <w:rsid w:val="29397105"/>
    <w:rsid w:val="299469B3"/>
    <w:rsid w:val="29BE69C3"/>
    <w:rsid w:val="2A805789"/>
    <w:rsid w:val="2B394172"/>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841269"/>
    <w:rsid w:val="34EB6088"/>
    <w:rsid w:val="355932F4"/>
    <w:rsid w:val="35611882"/>
    <w:rsid w:val="35934FF5"/>
    <w:rsid w:val="35EB0033"/>
    <w:rsid w:val="36746FC3"/>
    <w:rsid w:val="368763AE"/>
    <w:rsid w:val="36B87A13"/>
    <w:rsid w:val="372C77BC"/>
    <w:rsid w:val="395D59E7"/>
    <w:rsid w:val="39A93932"/>
    <w:rsid w:val="3A915562"/>
    <w:rsid w:val="3B7265A0"/>
    <w:rsid w:val="3B8D4765"/>
    <w:rsid w:val="3C000DBA"/>
    <w:rsid w:val="3DC045D3"/>
    <w:rsid w:val="3E504FFB"/>
    <w:rsid w:val="3E615CD0"/>
    <w:rsid w:val="3E9C47F6"/>
    <w:rsid w:val="3FAB3095"/>
    <w:rsid w:val="3FE45947"/>
    <w:rsid w:val="40482D37"/>
    <w:rsid w:val="412253A8"/>
    <w:rsid w:val="41242965"/>
    <w:rsid w:val="42D4120D"/>
    <w:rsid w:val="435671EA"/>
    <w:rsid w:val="437E6508"/>
    <w:rsid w:val="440809E9"/>
    <w:rsid w:val="442407A6"/>
    <w:rsid w:val="44805EA1"/>
    <w:rsid w:val="451A1CB3"/>
    <w:rsid w:val="45710696"/>
    <w:rsid w:val="46142B1B"/>
    <w:rsid w:val="46C14AA3"/>
    <w:rsid w:val="47E60DD0"/>
    <w:rsid w:val="481C151D"/>
    <w:rsid w:val="482A1360"/>
    <w:rsid w:val="48735039"/>
    <w:rsid w:val="490F6D9E"/>
    <w:rsid w:val="492C684B"/>
    <w:rsid w:val="49500594"/>
    <w:rsid w:val="49E7604E"/>
    <w:rsid w:val="4A10289F"/>
    <w:rsid w:val="4BF67CDD"/>
    <w:rsid w:val="4C7D038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CEB5330"/>
    <w:rsid w:val="5D115FAF"/>
    <w:rsid w:val="62811722"/>
    <w:rsid w:val="62C86664"/>
    <w:rsid w:val="62E75A72"/>
    <w:rsid w:val="63DC186C"/>
    <w:rsid w:val="63F7026C"/>
    <w:rsid w:val="64171D04"/>
    <w:rsid w:val="64571880"/>
    <w:rsid w:val="649125B6"/>
    <w:rsid w:val="64C6036F"/>
    <w:rsid w:val="652F4C1A"/>
    <w:rsid w:val="658152C3"/>
    <w:rsid w:val="666D37F1"/>
    <w:rsid w:val="67087D8F"/>
    <w:rsid w:val="671F687E"/>
    <w:rsid w:val="67F415F8"/>
    <w:rsid w:val="684B73E5"/>
    <w:rsid w:val="69F60F77"/>
    <w:rsid w:val="6A047A2A"/>
    <w:rsid w:val="6D1D2ABE"/>
    <w:rsid w:val="6F3831C3"/>
    <w:rsid w:val="70417DD1"/>
    <w:rsid w:val="70753482"/>
    <w:rsid w:val="707B522A"/>
    <w:rsid w:val="73194D05"/>
    <w:rsid w:val="736175F0"/>
    <w:rsid w:val="73A83B0E"/>
    <w:rsid w:val="744D3EF9"/>
    <w:rsid w:val="74794411"/>
    <w:rsid w:val="75867C40"/>
    <w:rsid w:val="760C35FA"/>
    <w:rsid w:val="76432199"/>
    <w:rsid w:val="76F44829"/>
    <w:rsid w:val="77A267C0"/>
    <w:rsid w:val="77AC299A"/>
    <w:rsid w:val="78205483"/>
    <w:rsid w:val="78882278"/>
    <w:rsid w:val="78B118A6"/>
    <w:rsid w:val="78DE16F4"/>
    <w:rsid w:val="79135044"/>
    <w:rsid w:val="7A644B5B"/>
    <w:rsid w:val="7A7D0F99"/>
    <w:rsid w:val="7B2A08D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alloon Text"/>
    <w:basedOn w:val="1"/>
    <w:link w:val="2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uiPriority w:val="99"/>
    <w:pPr>
      <w:snapToGrid w:val="0"/>
      <w:jc w:val="left"/>
    </w:pPr>
    <w:rPr>
      <w:sz w:val="18"/>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unhideWhenUsed/>
    <w:qFormat/>
    <w:uiPriority w:val="99"/>
    <w:rPr>
      <w:color w:val="800080"/>
      <w:u w:val="single"/>
    </w:rPr>
  </w:style>
  <w:style w:type="character" w:styleId="12">
    <w:name w:val="Hyperlink"/>
    <w:unhideWhenUsed/>
    <w:uiPriority w:val="99"/>
    <w:rPr>
      <w:color w:val="0000FF"/>
      <w:u w:val="single"/>
    </w:rPr>
  </w:style>
  <w:style w:type="character" w:styleId="13">
    <w:name w:val="footnote reference"/>
    <w:basedOn w:val="10"/>
    <w:unhideWhenUsed/>
    <w:uiPriority w:val="99"/>
    <w:rPr>
      <w:vertAlign w:val="superscript"/>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无间隔 Char"/>
    <w:basedOn w:val="10"/>
    <w:link w:val="18"/>
    <w:qFormat/>
    <w:uiPriority w:val="1"/>
    <w:rPr>
      <w:sz w:val="22"/>
      <w:szCs w:val="22"/>
      <w:lang w:val="en-US" w:eastAsia="zh-CN" w:bidi="ar-SA"/>
    </w:rPr>
  </w:style>
  <w:style w:type="paragraph" w:styleId="18">
    <w:name w:val="No Spacing"/>
    <w:link w:val="17"/>
    <w:qFormat/>
    <w:uiPriority w:val="1"/>
    <w:rPr>
      <w:rFonts w:ascii="Calibri" w:hAnsi="Calibri" w:eastAsia="宋体" w:cs="Times New Roman"/>
      <w:sz w:val="22"/>
      <w:szCs w:val="22"/>
      <w:lang w:val="en-US" w:eastAsia="zh-CN" w:bidi="ar-SA"/>
    </w:rPr>
  </w:style>
  <w:style w:type="character" w:customStyle="1" w:styleId="19">
    <w:name w:val="font1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 w:type="character" w:customStyle="1" w:styleId="22">
    <w:name w:val="font01"/>
    <w:basedOn w:val="10"/>
    <w:qFormat/>
    <w:uiPriority w:val="0"/>
    <w:rPr>
      <w:rFonts w:hint="eastAsia" w:ascii="宋体" w:hAnsi="宋体" w:eastAsia="宋体" w:cs="宋体"/>
      <w:color w:val="000000"/>
      <w:sz w:val="22"/>
      <w:szCs w:val="22"/>
      <w:u w:val="none"/>
    </w:rPr>
  </w:style>
  <w:style w:type="character" w:customStyle="1" w:styleId="23">
    <w:name w:val="批注框文本 Char"/>
    <w:basedOn w:val="10"/>
    <w:link w:val="4"/>
    <w:semiHidden/>
    <w:qFormat/>
    <w:uiPriority w:val="99"/>
    <w:rPr>
      <w:kern w:val="2"/>
      <w:sz w:val="18"/>
      <w:szCs w:val="18"/>
    </w:rPr>
  </w:style>
  <w:style w:type="paragraph" w:customStyle="1" w:styleId="24">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36</Pages>
  <Words>2420</Words>
  <Characters>13800</Characters>
  <Lines>115</Lines>
  <Paragraphs>32</Paragraphs>
  <TotalTime>11</TotalTime>
  <ScaleCrop>false</ScaleCrop>
  <LinksUpToDate>false</LinksUpToDate>
  <CharactersWithSpaces>16188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2020-12-16T08:41:00Z</dcterms:created>
  <dc:creator>管理者</dc:creator>
  <cp:lastModifiedBy>小嘉仪</cp:lastModifiedBy>
  <cp:lastPrinted>2020-09-22T02:44:00Z</cp:lastPrinted>
  <dcterms:modified xsi:type="dcterms:W3CDTF">2021-07-06T02:34:36Z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B9B6832D15D541E382AB7D1304D75DFF</vt:lpwstr>
  </property>
</Properties>
</file>