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4" w:lineRule="exact"/>
        <w:jc w:val="center"/>
        <w:rPr>
          <w:rFonts w:ascii="方正小标宋简体" w:hAnsi="Times New Roman" w:eastAsia="方正小标宋简体"/>
          <w:sz w:val="36"/>
          <w:szCs w:val="36"/>
        </w:rPr>
      </w:pPr>
    </w:p>
    <w:p>
      <w:pPr>
        <w:adjustRightInd w:val="0"/>
        <w:snapToGrid w:val="0"/>
        <w:spacing w:line="574"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2020年度中国国民党革命委员会</w:t>
      </w:r>
    </w:p>
    <w:p>
      <w:pPr>
        <w:adjustRightInd w:val="0"/>
        <w:snapToGrid w:val="0"/>
        <w:spacing w:line="574"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新乡市委员会</w:t>
      </w:r>
    </w:p>
    <w:p>
      <w:pPr>
        <w:adjustRightInd w:val="0"/>
        <w:snapToGrid w:val="0"/>
        <w:spacing w:line="574"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部门预算基本情况说明</w:t>
      </w:r>
    </w:p>
    <w:p>
      <w:pPr>
        <w:adjustRightInd w:val="0"/>
        <w:snapToGrid w:val="0"/>
        <w:spacing w:line="574" w:lineRule="exact"/>
        <w:jc w:val="center"/>
        <w:rPr>
          <w:rFonts w:ascii="楷体" w:hAnsi="楷体" w:eastAsia="楷体"/>
          <w:sz w:val="32"/>
          <w:szCs w:val="32"/>
        </w:rPr>
      </w:pPr>
    </w:p>
    <w:p>
      <w:pPr>
        <w:kinsoku w:val="0"/>
        <w:overflowPunct w:val="0"/>
        <w:adjustRightInd w:val="0"/>
        <w:snapToGrid w:val="0"/>
        <w:spacing w:line="574" w:lineRule="exact"/>
        <w:ind w:left="-142" w:right="51" w:firstLine="39" w:firstLineChars="7"/>
        <w:jc w:val="center"/>
        <w:rPr>
          <w:rFonts w:ascii="黑体" w:hAnsi="Times New Roman" w:eastAsia="黑体" w:cs="黑体"/>
          <w:sz w:val="56"/>
          <w:szCs w:val="56"/>
        </w:rPr>
      </w:pPr>
      <w:r>
        <w:rPr>
          <w:rFonts w:hint="eastAsia" w:ascii="黑体" w:hAnsi="Times New Roman" w:eastAsia="黑体" w:cs="黑体"/>
          <w:sz w:val="56"/>
          <w:szCs w:val="56"/>
        </w:rPr>
        <w:t>目录</w:t>
      </w:r>
    </w:p>
    <w:p>
      <w:pPr>
        <w:kinsoku w:val="0"/>
        <w:overflowPunct w:val="0"/>
        <w:adjustRightInd w:val="0"/>
        <w:snapToGrid w:val="0"/>
        <w:spacing w:line="574" w:lineRule="exact"/>
        <w:ind w:firstLine="640" w:firstLineChars="200"/>
        <w:rPr>
          <w:rFonts w:ascii="黑体" w:hAnsi="Times New Roman" w:eastAsia="黑体" w:cs="黑体"/>
          <w:w w:val="99"/>
          <w:sz w:val="32"/>
          <w:szCs w:val="32"/>
        </w:rPr>
      </w:pPr>
      <w:r>
        <w:rPr>
          <w:rFonts w:hint="eastAsia" w:ascii="黑体" w:hAnsi="Times New Roman" w:eastAsia="黑体" w:cs="黑体"/>
          <w:sz w:val="32"/>
          <w:szCs w:val="32"/>
        </w:rPr>
        <w:t>第一部分中国国民党革命委员会新乡市委员会概况</w:t>
      </w:r>
    </w:p>
    <w:p>
      <w:pPr>
        <w:kinsoku w:val="0"/>
        <w:overflowPunct w:val="0"/>
        <w:adjustRightInd w:val="0"/>
        <w:snapToGrid w:val="0"/>
        <w:spacing w:line="574" w:lineRule="exact"/>
        <w:ind w:right="84"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一、主要职能</w:t>
      </w:r>
    </w:p>
    <w:p>
      <w:pPr>
        <w:kinsoku w:val="0"/>
        <w:overflowPunct w:val="0"/>
        <w:adjustRightInd w:val="0"/>
        <w:snapToGrid w:val="0"/>
        <w:spacing w:line="574" w:lineRule="exact"/>
        <w:ind w:right="84" w:firstLine="960" w:firstLineChars="300"/>
        <w:jc w:val="left"/>
        <w:rPr>
          <w:rFonts w:ascii="华文楷体" w:hAnsi="华文楷体" w:eastAsia="华文楷体" w:cs="仿宋_GB2312"/>
          <w:sz w:val="32"/>
          <w:szCs w:val="32"/>
        </w:rPr>
      </w:pPr>
      <w:r>
        <w:rPr>
          <w:rFonts w:hint="eastAsia" w:ascii="仿宋_GB2312" w:hAnsi="Times New Roman" w:eastAsia="仿宋_GB2312" w:cs="仿宋_GB2312"/>
          <w:sz w:val="32"/>
          <w:szCs w:val="32"/>
        </w:rPr>
        <w:t>二、部门预算单位构成</w:t>
      </w:r>
    </w:p>
    <w:p>
      <w:pPr>
        <w:kinsoku w:val="0"/>
        <w:overflowPunct w:val="0"/>
        <w:adjustRightInd w:val="0"/>
        <w:snapToGrid w:val="0"/>
        <w:spacing w:line="574" w:lineRule="exact"/>
        <w:ind w:right="84" w:firstLine="960" w:firstLineChars="300"/>
        <w:jc w:val="left"/>
        <w:rPr>
          <w:rFonts w:ascii="仿宋" w:hAnsi="仿宋" w:eastAsia="仿宋" w:cs="仿宋_GB2312"/>
          <w:sz w:val="32"/>
          <w:szCs w:val="32"/>
        </w:rPr>
      </w:pPr>
      <w:r>
        <w:rPr>
          <w:rFonts w:hint="eastAsia" w:ascii="仿宋" w:hAnsi="仿宋" w:eastAsia="仿宋" w:cs="仿宋_GB2312"/>
          <w:sz w:val="32"/>
          <w:szCs w:val="32"/>
        </w:rPr>
        <w:t>三、部门人员编制总体情况。</w:t>
      </w:r>
    </w:p>
    <w:p>
      <w:pPr>
        <w:kinsoku w:val="0"/>
        <w:overflowPunct w:val="0"/>
        <w:adjustRightInd w:val="0"/>
        <w:snapToGrid w:val="0"/>
        <w:spacing w:line="574" w:lineRule="exact"/>
        <w:ind w:right="26" w:firstLine="640" w:firstLineChars="200"/>
        <w:rPr>
          <w:rFonts w:ascii="黑体" w:hAnsi="Times New Roman" w:eastAsia="黑体" w:cs="黑体"/>
          <w:w w:val="99"/>
          <w:sz w:val="32"/>
          <w:szCs w:val="32"/>
        </w:rPr>
      </w:pPr>
      <w:r>
        <w:rPr>
          <w:rFonts w:hint="eastAsia" w:ascii="黑体" w:hAnsi="Times New Roman" w:eastAsia="黑体" w:cs="黑体"/>
          <w:sz w:val="32"/>
          <w:szCs w:val="32"/>
        </w:rPr>
        <w:t>第二部分  中国国民党革命委员会新乡市委员会</w:t>
      </w:r>
      <w:r>
        <w:rPr>
          <w:rFonts w:ascii="黑体" w:hAnsi="Times New Roman" w:eastAsia="黑体" w:cs="黑体"/>
          <w:sz w:val="32"/>
          <w:szCs w:val="32"/>
        </w:rPr>
        <w:t>20</w:t>
      </w:r>
      <w:r>
        <w:rPr>
          <w:rFonts w:hint="eastAsia" w:ascii="黑体" w:hAnsi="Times New Roman" w:eastAsia="黑体" w:cs="黑体"/>
          <w:sz w:val="32"/>
          <w:szCs w:val="32"/>
        </w:rPr>
        <w:t>20年度部门预算情况说明</w:t>
      </w:r>
    </w:p>
    <w:p>
      <w:pPr>
        <w:kinsoku w:val="0"/>
        <w:overflowPunct w:val="0"/>
        <w:adjustRightInd w:val="0"/>
        <w:snapToGrid w:val="0"/>
        <w:spacing w:line="574" w:lineRule="exact"/>
        <w:ind w:right="521" w:firstLine="640" w:firstLineChars="200"/>
        <w:rPr>
          <w:rFonts w:ascii="黑体" w:hAnsi="Times New Roman" w:eastAsia="黑体" w:cs="黑体"/>
          <w:sz w:val="32"/>
          <w:szCs w:val="32"/>
        </w:rPr>
      </w:pPr>
      <w:r>
        <w:rPr>
          <w:rFonts w:hint="eastAsia" w:ascii="黑体" w:hAnsi="Times New Roman" w:eastAsia="黑体" w:cs="黑体"/>
          <w:sz w:val="32"/>
          <w:szCs w:val="32"/>
        </w:rPr>
        <w:t>第三部分名词解释</w:t>
      </w:r>
    </w:p>
    <w:p>
      <w:pPr>
        <w:kinsoku w:val="0"/>
        <w:overflowPunct w:val="0"/>
        <w:adjustRightInd w:val="0"/>
        <w:snapToGrid w:val="0"/>
        <w:spacing w:line="574" w:lineRule="exact"/>
        <w:ind w:firstLine="640" w:firstLineChars="200"/>
        <w:rPr>
          <w:rFonts w:ascii="黑体" w:hAnsi="Times New Roman" w:eastAsia="黑体" w:cs="黑体"/>
          <w:sz w:val="32"/>
          <w:szCs w:val="32"/>
        </w:rPr>
      </w:pPr>
      <w:r>
        <w:rPr>
          <w:rFonts w:hint="eastAsia" w:ascii="黑体" w:hAnsi="Times New Roman" w:eastAsia="黑体" w:cs="黑体"/>
          <w:sz w:val="32"/>
          <w:szCs w:val="32"/>
        </w:rPr>
        <w:t>附件：中国国民党革命委员会新乡市委员会2020年度部门预算表</w:t>
      </w:r>
    </w:p>
    <w:p>
      <w:pPr>
        <w:kinsoku w:val="0"/>
        <w:overflowPunct w:val="0"/>
        <w:adjustRightInd w:val="0"/>
        <w:snapToGrid w:val="0"/>
        <w:spacing w:line="574" w:lineRule="exact"/>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574" w:lineRule="exact"/>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574" w:lineRule="exact"/>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574" w:lineRule="exact"/>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574" w:lineRule="exact"/>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八、一般公共预算部门管理项目情况表</w:t>
      </w:r>
    </w:p>
    <w:p>
      <w:pPr>
        <w:kinsoku w:val="0"/>
        <w:overflowPunct w:val="0"/>
        <w:adjustRightInd w:val="0"/>
        <w:snapToGrid w:val="0"/>
        <w:spacing w:line="574" w:lineRule="exact"/>
        <w:ind w:right="51"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九、</w:t>
      </w:r>
      <w:r>
        <w:rPr>
          <w:rFonts w:hint="eastAsia" w:ascii="仿宋_GB2312" w:eastAsia="仿宋_GB2312"/>
          <w:sz w:val="32"/>
          <w:szCs w:val="32"/>
        </w:rPr>
        <w:t>一般公共预算“三公”经费支出情况表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hAnsi="Times New Roman" w:eastAsia="仿宋_GB2312" w:cs="仿宋_GB2312"/>
          <w:sz w:val="32"/>
          <w:szCs w:val="32"/>
        </w:rPr>
        <w:t>十、</w:t>
      </w:r>
      <w:r>
        <w:rPr>
          <w:rFonts w:hint="eastAsia" w:ascii="仿宋_GB2312" w:eastAsia="仿宋_GB2312"/>
          <w:sz w:val="32"/>
          <w:szCs w:val="32"/>
        </w:rPr>
        <w:t>政府性基金支出情况表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eastAsia="仿宋_GB2312"/>
          <w:sz w:val="32"/>
          <w:szCs w:val="32"/>
        </w:rPr>
        <w:t>十一、政府性基金预算项目支出情况表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eastAsia="仿宋_GB2312"/>
          <w:sz w:val="32"/>
          <w:szCs w:val="32"/>
        </w:rPr>
        <w:t>十二、政府性基金预算部门管理项目情况表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eastAsia="仿宋_GB2312"/>
          <w:sz w:val="32"/>
          <w:szCs w:val="32"/>
        </w:rPr>
        <w:t>十三、机关运行经费情况表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eastAsia="仿宋_GB2312"/>
          <w:sz w:val="32"/>
          <w:szCs w:val="32"/>
        </w:rPr>
        <w:t>十四、政府采购及资产购置情况表</w:t>
      </w:r>
    </w:p>
    <w:p>
      <w:pPr>
        <w:kinsoku w:val="0"/>
        <w:overflowPunct w:val="0"/>
        <w:adjustRightInd w:val="0"/>
        <w:snapToGrid w:val="0"/>
        <w:spacing w:line="574" w:lineRule="exact"/>
        <w:ind w:right="51" w:firstLine="960" w:firstLineChars="300"/>
        <w:jc w:val="left"/>
        <w:rPr>
          <w:rFonts w:ascii="仿宋_GB2312" w:eastAsia="仿宋_GB2312"/>
          <w:sz w:val="32"/>
          <w:szCs w:val="32"/>
        </w:rPr>
      </w:pPr>
      <w:r>
        <w:rPr>
          <w:rFonts w:hint="eastAsia" w:ascii="仿宋_GB2312" w:eastAsia="仿宋_GB2312"/>
          <w:sz w:val="32"/>
          <w:szCs w:val="32"/>
        </w:rPr>
        <w:t>十五、政府购买服务计划表</w:t>
      </w:r>
    </w:p>
    <w:p>
      <w:pPr>
        <w:kinsoku w:val="0"/>
        <w:overflowPunct w:val="0"/>
        <w:adjustRightInd w:val="0"/>
        <w:snapToGrid w:val="0"/>
        <w:spacing w:line="574" w:lineRule="exact"/>
        <w:ind w:right="51"/>
        <w:jc w:val="left"/>
        <w:rPr>
          <w:rFonts w:ascii="仿宋_GB2312" w:hAnsi="Times New Roman" w:eastAsia="仿宋_GB2312" w:cs="仿宋_GB2312"/>
          <w:sz w:val="32"/>
          <w:szCs w:val="32"/>
        </w:rPr>
      </w:pPr>
    </w:p>
    <w:p>
      <w:pPr>
        <w:kinsoku w:val="0"/>
        <w:overflowPunct w:val="0"/>
        <w:adjustRightInd w:val="0"/>
        <w:snapToGrid w:val="0"/>
        <w:spacing w:line="574" w:lineRule="exact"/>
        <w:ind w:left="101" w:right="521" w:firstLine="640" w:firstLineChars="200"/>
        <w:rPr>
          <w:rFonts w:ascii="黑体" w:hAnsi="Times New Roman" w:eastAsia="黑体" w:cs="黑体"/>
          <w:sz w:val="32"/>
          <w:szCs w:val="32"/>
        </w:rPr>
      </w:pPr>
    </w:p>
    <w:p>
      <w:pPr>
        <w:adjustRightInd w:val="0"/>
        <w:snapToGrid w:val="0"/>
        <w:spacing w:line="574" w:lineRule="exact"/>
        <w:ind w:firstLine="640" w:firstLineChars="200"/>
        <w:jc w:val="center"/>
        <w:rPr>
          <w:rFonts w:ascii="黑体" w:hAnsi="黑体" w:eastAsia="黑体"/>
          <w:sz w:val="32"/>
          <w:szCs w:val="32"/>
        </w:rPr>
      </w:pPr>
    </w:p>
    <w:p>
      <w:pPr>
        <w:adjustRightInd w:val="0"/>
        <w:snapToGrid w:val="0"/>
        <w:spacing w:line="574" w:lineRule="exact"/>
        <w:ind w:firstLine="640" w:firstLineChars="200"/>
        <w:jc w:val="center"/>
        <w:rPr>
          <w:rFonts w:ascii="黑体" w:hAnsi="黑体" w:eastAsia="黑体"/>
          <w:sz w:val="32"/>
          <w:szCs w:val="32"/>
        </w:rPr>
      </w:pPr>
    </w:p>
    <w:p>
      <w:pPr>
        <w:adjustRightInd w:val="0"/>
        <w:snapToGrid w:val="0"/>
        <w:spacing w:line="574" w:lineRule="exact"/>
        <w:ind w:firstLine="640" w:firstLineChars="200"/>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r>
        <w:rPr>
          <w:rFonts w:hint="eastAsia" w:ascii="黑体" w:hAnsi="黑体" w:eastAsia="黑体"/>
          <w:sz w:val="32"/>
          <w:szCs w:val="32"/>
        </w:rPr>
        <w:t>第一部分</w:t>
      </w:r>
    </w:p>
    <w:p>
      <w:pPr>
        <w:adjustRightInd w:val="0"/>
        <w:snapToGrid w:val="0"/>
        <w:spacing w:line="574" w:lineRule="exact"/>
        <w:jc w:val="center"/>
        <w:rPr>
          <w:rFonts w:ascii="黑体" w:hAnsi="黑体" w:eastAsia="黑体"/>
          <w:sz w:val="32"/>
          <w:szCs w:val="32"/>
        </w:rPr>
      </w:pPr>
      <w:r>
        <w:rPr>
          <w:rFonts w:hint="eastAsia" w:ascii="黑体" w:hAnsi="Times New Roman" w:eastAsia="黑体" w:cs="黑体"/>
          <w:sz w:val="32"/>
          <w:szCs w:val="32"/>
        </w:rPr>
        <w:t>中国国民党革命委员会新乡市委员会</w:t>
      </w:r>
      <w:r>
        <w:rPr>
          <w:rFonts w:hint="eastAsia" w:ascii="黑体" w:hAnsi="黑体" w:eastAsia="黑体"/>
          <w:sz w:val="32"/>
          <w:szCs w:val="32"/>
        </w:rPr>
        <w:t>概况</w:t>
      </w:r>
    </w:p>
    <w:p>
      <w:pPr>
        <w:adjustRightInd w:val="0"/>
        <w:snapToGrid w:val="0"/>
        <w:spacing w:line="574" w:lineRule="exact"/>
        <w:ind w:firstLine="640" w:firstLineChars="200"/>
        <w:jc w:val="center"/>
        <w:rPr>
          <w:rFonts w:ascii="黑体" w:hAnsi="黑体" w:eastAsia="黑体"/>
          <w:sz w:val="32"/>
          <w:szCs w:val="32"/>
        </w:rPr>
      </w:pPr>
    </w:p>
    <w:p>
      <w:pPr>
        <w:adjustRightInd w:val="0"/>
        <w:snapToGrid w:val="0"/>
        <w:spacing w:line="574"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Times New Roman" w:eastAsia="黑体" w:cs="黑体"/>
          <w:sz w:val="32"/>
          <w:szCs w:val="32"/>
        </w:rPr>
        <w:t>中国国民党革命委员会新乡市委员会</w:t>
      </w:r>
      <w:r>
        <w:rPr>
          <w:rFonts w:hint="eastAsia" w:ascii="黑体" w:hAnsi="黑体" w:eastAsia="黑体"/>
          <w:sz w:val="32"/>
          <w:szCs w:val="32"/>
        </w:rPr>
        <w:t>主要职责</w:t>
      </w:r>
    </w:p>
    <w:p>
      <w:pPr>
        <w:kinsoku w:val="0"/>
        <w:overflowPunct w:val="0"/>
        <w:autoSpaceDE w:val="0"/>
        <w:autoSpaceDN w:val="0"/>
        <w:adjustRightInd w:val="0"/>
        <w:snapToGrid w:val="0"/>
        <w:spacing w:line="574" w:lineRule="exact"/>
        <w:ind w:firstLine="720"/>
        <w:jc w:val="left"/>
        <w:rPr>
          <w:rFonts w:ascii="仿宋_GB2312" w:eastAsia="仿宋_GB2312"/>
          <w:sz w:val="32"/>
          <w:szCs w:val="32"/>
        </w:rPr>
      </w:pPr>
      <w:r>
        <w:rPr>
          <w:rFonts w:hint="eastAsia" w:ascii="仿宋_GB2312" w:eastAsia="仿宋_GB2312"/>
          <w:sz w:val="32"/>
          <w:szCs w:val="32"/>
        </w:rPr>
        <w:t>民革新乡市委机关内设2个职能科室：办公室和组宣科。</w:t>
      </w:r>
    </w:p>
    <w:p>
      <w:pPr>
        <w:kinsoku w:val="0"/>
        <w:overflowPunct w:val="0"/>
        <w:autoSpaceDE w:val="0"/>
        <w:autoSpaceDN w:val="0"/>
        <w:adjustRightInd w:val="0"/>
        <w:snapToGrid w:val="0"/>
        <w:spacing w:line="574" w:lineRule="exact"/>
        <w:ind w:firstLine="720"/>
        <w:jc w:val="left"/>
        <w:rPr>
          <w:rFonts w:ascii="华文仿宋" w:hAnsi="华文仿宋" w:eastAsia="华文仿宋" w:cs="华文仿宋"/>
          <w:sz w:val="32"/>
          <w:szCs w:val="32"/>
        </w:rPr>
      </w:pPr>
      <w:r>
        <w:rPr>
          <w:rFonts w:hint="eastAsia" w:ascii="华文仿宋" w:hAnsi="华文仿宋" w:eastAsia="华文仿宋" w:cs="华文仿宋"/>
          <w:b/>
          <w:sz w:val="32"/>
          <w:szCs w:val="32"/>
        </w:rPr>
        <w:t>主要职责是：</w:t>
      </w:r>
    </w:p>
    <w:p>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民革新乡市委自立以来，继承和发扬了民革的优良传统，坚决拥护中国共产党的领导，拥护中国共产党领导的多党合作和政治协商制度，积极发挥参政党作用，认真贯彻中共中央两个5号文件精神，积极参政议政，建言献策，充分发挥自身优势，围绕新乡市的中心工作开展活动，为新乡市改革开放和社会主义现代化建设，为统一战线和我国社会主义多党合作事业发展，为坚持和完善中国共产党领导的多党合作和政治协商制度，做出了积极贡献。民革新乡市委经常组织社员开展调查研究，拿出了很多有价值、有分量的调研报告。为新乡市的繁荣稳定做出了突出的贡献，受到了中共新乡市委、市政府及社会各界人士的一致好评。加强思想政治工作，引导非公有制经济人士学习贯彻党的路线方针政策，遵守国家法律法规，培养拥护党的领导、走中国特色社会主义道路的非公有制经济人士队伍；参加政治协商，发挥民主监督作用，积极参政议政；推动经贸交流和协作，促进经济社会发展；参与协调劳动关系，促进社会和谐稳定；反映非公有制企业和非公有制经济人士利益诉求，维护其合法权益。</w:t>
      </w:r>
    </w:p>
    <w:p>
      <w:pPr>
        <w:adjustRightInd w:val="0"/>
        <w:snapToGrid w:val="0"/>
        <w:spacing w:line="574" w:lineRule="exact"/>
        <w:ind w:firstLine="640" w:firstLineChars="200"/>
        <w:rPr>
          <w:rFonts w:ascii="楷体_GB2312" w:hAnsi="宋体" w:eastAsia="楷体_GB2312" w:cs="Courier New"/>
          <w:kern w:val="0"/>
          <w:sz w:val="32"/>
          <w:szCs w:val="32"/>
        </w:rPr>
      </w:pPr>
    </w:p>
    <w:p>
      <w:pPr>
        <w:adjustRightInd w:val="0"/>
        <w:snapToGrid w:val="0"/>
        <w:spacing w:line="574" w:lineRule="exact"/>
        <w:ind w:firstLine="640" w:firstLineChars="200"/>
        <w:rPr>
          <w:rFonts w:ascii="黑体" w:hAnsi="黑体" w:eastAsia="黑体"/>
          <w:sz w:val="32"/>
          <w:szCs w:val="32"/>
        </w:rPr>
      </w:pPr>
      <w:r>
        <w:rPr>
          <w:rFonts w:hint="eastAsia" w:ascii="黑体" w:hAnsi="黑体" w:eastAsia="黑体"/>
          <w:sz w:val="32"/>
          <w:szCs w:val="32"/>
        </w:rPr>
        <w:t>二、民革新乡市委预算单位构成</w:t>
      </w:r>
    </w:p>
    <w:p>
      <w:pPr>
        <w:kinsoku w:val="0"/>
        <w:overflowPunct w:val="0"/>
        <w:autoSpaceDE w:val="0"/>
        <w:autoSpaceDN w:val="0"/>
        <w:adjustRightInd w:val="0"/>
        <w:snapToGrid w:val="0"/>
        <w:spacing w:line="574" w:lineRule="exact"/>
        <w:ind w:left="760" w:firstLine="320"/>
        <w:jc w:val="left"/>
        <w:rPr>
          <w:rFonts w:ascii="仿宋_GB2312" w:hAnsi="Times New Roman" w:eastAsia="仿宋_GB2312" w:cs="仿宋_GB2312"/>
          <w:spacing w:val="-1"/>
          <w:kern w:val="0"/>
          <w:sz w:val="32"/>
          <w:szCs w:val="32"/>
        </w:rPr>
      </w:pPr>
      <w:r>
        <w:rPr>
          <w:rFonts w:hint="eastAsia" w:ascii="仿宋_GB2312" w:hAnsi="宋体" w:eastAsia="仿宋_GB2312" w:cs="Courier New"/>
          <w:kern w:val="0"/>
          <w:sz w:val="32"/>
          <w:szCs w:val="32"/>
        </w:rPr>
        <w:t>民革新乡市委</w:t>
      </w:r>
      <w:r>
        <w:rPr>
          <w:rFonts w:hint="eastAsia" w:ascii="仿宋_GB2312" w:hAnsi="Times New Roman" w:eastAsia="仿宋_GB2312" w:cs="仿宋_GB2312"/>
          <w:spacing w:val="2"/>
          <w:kern w:val="0"/>
          <w:sz w:val="32"/>
          <w:szCs w:val="32"/>
        </w:rPr>
        <w:t>部门</w:t>
      </w:r>
      <w:r>
        <w:rPr>
          <w:rFonts w:hint="eastAsia" w:ascii="仿宋_GB2312" w:hAnsi="Times New Roman" w:eastAsia="仿宋_GB2312" w:cs="仿宋_GB2312"/>
          <w:kern w:val="0"/>
          <w:sz w:val="32"/>
          <w:szCs w:val="32"/>
        </w:rPr>
        <w:t>预算</w:t>
      </w:r>
      <w:r>
        <w:rPr>
          <w:rFonts w:hint="eastAsia" w:ascii="仿宋_GB2312" w:hAnsi="Times New Roman" w:eastAsia="仿宋_GB2312" w:cs="仿宋_GB2312"/>
          <w:spacing w:val="2"/>
          <w:kern w:val="0"/>
          <w:sz w:val="32"/>
          <w:szCs w:val="32"/>
        </w:rPr>
        <w:t>为本级单位。</w:t>
      </w:r>
    </w:p>
    <w:p>
      <w:pPr>
        <w:kinsoku w:val="0"/>
        <w:overflowPunct w:val="0"/>
        <w:autoSpaceDE w:val="0"/>
        <w:autoSpaceDN w:val="0"/>
        <w:adjustRightInd w:val="0"/>
        <w:snapToGrid w:val="0"/>
        <w:spacing w:line="574" w:lineRule="exact"/>
        <w:ind w:firstLine="640" w:firstLineChars="200"/>
        <w:jc w:val="left"/>
        <w:rPr>
          <w:rFonts w:ascii="黑体" w:hAnsi="Times New Roman" w:eastAsia="黑体" w:cs="黑体"/>
          <w:sz w:val="32"/>
          <w:szCs w:val="32"/>
        </w:rPr>
      </w:pPr>
      <w:r>
        <w:rPr>
          <w:rFonts w:hint="eastAsia" w:ascii="黑体" w:hAnsi="Times New Roman" w:eastAsia="黑体" w:cs="黑体"/>
          <w:sz w:val="32"/>
          <w:szCs w:val="32"/>
        </w:rPr>
        <w:t>三、部门人员编制总体情况</w:t>
      </w:r>
    </w:p>
    <w:p>
      <w:pPr>
        <w:adjustRightInd w:val="0"/>
        <w:snapToGrid w:val="0"/>
        <w:spacing w:line="574" w:lineRule="exact"/>
        <w:ind w:firstLine="645"/>
        <w:rPr>
          <w:rFonts w:ascii="仿宋" w:hAnsi="仿宋" w:eastAsia="仿宋" w:cs="黑体"/>
          <w:sz w:val="32"/>
          <w:szCs w:val="32"/>
        </w:rPr>
      </w:pPr>
      <w:r>
        <w:rPr>
          <w:rFonts w:hint="eastAsia" w:ascii="仿宋" w:hAnsi="仿宋" w:eastAsia="仿宋" w:cs="FangSong_GB2312+FPEF"/>
          <w:kern w:val="0"/>
          <w:sz w:val="32"/>
          <w:szCs w:val="32"/>
        </w:rPr>
        <w:t>总编制人数6人，在职实有人数4人，其中：行政人员3人，工勤人员1人。</w:t>
      </w:r>
    </w:p>
    <w:p>
      <w:pPr>
        <w:adjustRightInd w:val="0"/>
        <w:snapToGrid w:val="0"/>
        <w:spacing w:line="574" w:lineRule="exact"/>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p>
    <w:p>
      <w:pPr>
        <w:adjustRightInd w:val="0"/>
        <w:snapToGrid w:val="0"/>
        <w:spacing w:line="574" w:lineRule="exact"/>
        <w:ind w:firstLine="3840" w:firstLineChars="1200"/>
        <w:rPr>
          <w:rFonts w:ascii="黑体" w:hAnsi="Times New Roman" w:eastAsia="黑体" w:cs="黑体"/>
          <w:sz w:val="32"/>
          <w:szCs w:val="32"/>
        </w:rPr>
      </w:pPr>
      <w:r>
        <w:rPr>
          <w:rFonts w:hint="eastAsia" w:ascii="黑体" w:hAnsi="Times New Roman" w:eastAsia="黑体" w:cs="黑体"/>
          <w:sz w:val="32"/>
          <w:szCs w:val="32"/>
        </w:rPr>
        <w:t>第二部分</w:t>
      </w:r>
    </w:p>
    <w:p>
      <w:pPr>
        <w:adjustRightInd w:val="0"/>
        <w:snapToGrid w:val="0"/>
        <w:spacing w:line="574" w:lineRule="exact"/>
        <w:jc w:val="center"/>
        <w:rPr>
          <w:rFonts w:ascii="黑体" w:hAnsi="Times New Roman" w:eastAsia="黑体" w:cs="黑体"/>
          <w:spacing w:val="-38"/>
          <w:sz w:val="32"/>
          <w:szCs w:val="32"/>
        </w:rPr>
      </w:pPr>
    </w:p>
    <w:p>
      <w:pPr>
        <w:adjustRightInd w:val="0"/>
        <w:snapToGrid w:val="0"/>
        <w:spacing w:line="574" w:lineRule="exact"/>
        <w:jc w:val="center"/>
        <w:rPr>
          <w:rFonts w:ascii="黑体" w:hAnsi="黑体" w:eastAsia="黑体"/>
          <w:sz w:val="32"/>
          <w:szCs w:val="32"/>
        </w:rPr>
      </w:pPr>
      <w:r>
        <w:rPr>
          <w:rFonts w:hint="eastAsia" w:ascii="黑体" w:hAnsi="黑体" w:eastAsia="黑体"/>
          <w:sz w:val="32"/>
          <w:szCs w:val="32"/>
        </w:rPr>
        <w:t>中国国民党革命委员会新乡市委员会</w:t>
      </w:r>
    </w:p>
    <w:p>
      <w:pPr>
        <w:adjustRightInd w:val="0"/>
        <w:snapToGrid w:val="0"/>
        <w:spacing w:line="574" w:lineRule="exact"/>
        <w:jc w:val="center"/>
        <w:rPr>
          <w:rFonts w:ascii="黑体" w:hAnsi="黑体" w:eastAsia="黑体"/>
          <w:sz w:val="32"/>
          <w:szCs w:val="32"/>
        </w:rPr>
      </w:pPr>
      <w:r>
        <w:rPr>
          <w:rFonts w:hint="eastAsia" w:ascii="黑体" w:hAnsi="Times New Roman" w:eastAsia="黑体" w:cs="黑体"/>
          <w:sz w:val="32"/>
          <w:szCs w:val="32"/>
        </w:rPr>
        <w:t>2020年度部门预算情况说明</w:t>
      </w:r>
    </w:p>
    <w:p>
      <w:pPr>
        <w:adjustRightInd w:val="0"/>
        <w:snapToGrid w:val="0"/>
        <w:spacing w:line="574" w:lineRule="exact"/>
        <w:ind w:firstLine="640" w:firstLineChars="200"/>
        <w:rPr>
          <w:rFonts w:ascii="黑体" w:hAnsi="黑体" w:eastAsia="黑体"/>
          <w:sz w:val="32"/>
          <w:szCs w:val="32"/>
        </w:rPr>
      </w:pPr>
      <w:r>
        <w:rPr>
          <w:rFonts w:hint="eastAsia" w:ascii="黑体" w:hAnsi="黑体" w:eastAsia="黑体"/>
          <w:sz w:val="32"/>
          <w:szCs w:val="32"/>
        </w:rPr>
        <w:t>一、收入支出预算总体情况说明</w:t>
      </w:r>
    </w:p>
    <w:p>
      <w:pPr>
        <w:shd w:val="clear" w:color="auto" w:fill="FFFFFF"/>
        <w:adjustRightInd w:val="0"/>
        <w:snapToGrid w:val="0"/>
        <w:spacing w:line="574" w:lineRule="exact"/>
        <w:ind w:firstLine="640" w:firstLineChars="200"/>
        <w:rPr>
          <w:rFonts w:ascii="仿宋_GB2312" w:hAnsi="宋体" w:eastAsia="仿宋_GB2312" w:cs="Courier New"/>
          <w:color w:val="000000"/>
          <w:sz w:val="32"/>
          <w:szCs w:val="32"/>
        </w:rPr>
      </w:pPr>
      <w:r>
        <w:rPr>
          <w:rFonts w:hint="eastAsia" w:ascii="仿宋_GB2312" w:eastAsia="仿宋_GB2312"/>
          <w:sz w:val="32"/>
          <w:szCs w:val="32"/>
        </w:rPr>
        <w:t>民革新乡市委</w:t>
      </w:r>
      <w:r>
        <w:rPr>
          <w:rFonts w:hint="eastAsia" w:ascii="仿宋_GB2312" w:hAnsi="宋体" w:eastAsia="仿宋_GB2312" w:cs="Courier New"/>
          <w:sz w:val="32"/>
          <w:szCs w:val="32"/>
        </w:rPr>
        <w:t>2020年收入总计98.28万元，支出总计</w:t>
      </w:r>
      <w:r>
        <w:rPr>
          <w:rFonts w:hint="eastAsia" w:ascii="仿宋_GB2312" w:eastAsia="仿宋_GB2312"/>
          <w:sz w:val="32"/>
          <w:szCs w:val="32"/>
        </w:rPr>
        <w:t>98.28</w:t>
      </w:r>
      <w:r>
        <w:rPr>
          <w:rFonts w:hint="eastAsia" w:ascii="仿宋_GB2312" w:hAnsi="宋体" w:eastAsia="仿宋_GB2312" w:cs="Courier New"/>
          <w:sz w:val="32"/>
          <w:szCs w:val="32"/>
        </w:rPr>
        <w:t>万元，与2019年相比，收、支总计各增加4.22万元，增长4.49%。主要原因：</w:t>
      </w:r>
      <w:r>
        <w:rPr>
          <w:rFonts w:hint="eastAsia" w:ascii="仿宋_GB2312" w:hAnsi="宋体" w:eastAsia="仿宋_GB2312" w:cs="Courier New"/>
          <w:color w:val="000000"/>
          <w:sz w:val="32"/>
          <w:szCs w:val="32"/>
        </w:rPr>
        <w:t>19年单位调出人员1人，新调入人员1人，2019年工资调整。</w:t>
      </w:r>
    </w:p>
    <w:p>
      <w:pPr>
        <w:adjustRightInd w:val="0"/>
        <w:snapToGrid w:val="0"/>
        <w:spacing w:line="574" w:lineRule="exact"/>
        <w:ind w:firstLine="640" w:firstLineChars="200"/>
        <w:rPr>
          <w:rFonts w:ascii="仿宋_GB2312" w:hAnsi="宋体" w:eastAsia="仿宋_GB2312" w:cs="Courier New"/>
          <w:sz w:val="32"/>
          <w:szCs w:val="32"/>
        </w:rPr>
      </w:pPr>
      <w:r>
        <w:rPr>
          <w:rFonts w:hint="eastAsia" w:ascii="黑体" w:hAnsi="黑体" w:eastAsia="黑体"/>
          <w:sz w:val="32"/>
          <w:szCs w:val="32"/>
        </w:rPr>
        <w:t>二、收入预算总体情况说明</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民革新乡市委</w:t>
      </w:r>
      <w:r>
        <w:rPr>
          <w:rFonts w:hint="eastAsia" w:ascii="仿宋_GB2312" w:hAnsi="Times New Roman" w:eastAsia="仿宋_GB2312"/>
          <w:sz w:val="32"/>
          <w:szCs w:val="32"/>
        </w:rPr>
        <w:t>2020年收入合计</w:t>
      </w:r>
      <w:r>
        <w:rPr>
          <w:rFonts w:hint="eastAsia" w:ascii="仿宋_GB2312" w:eastAsia="仿宋_GB2312"/>
          <w:sz w:val="32"/>
          <w:szCs w:val="32"/>
        </w:rPr>
        <w:t>98.28</w:t>
      </w:r>
      <w:r>
        <w:rPr>
          <w:rFonts w:hint="eastAsia" w:ascii="仿宋_GB2312" w:hAnsi="Times New Roman" w:eastAsia="仿宋_GB2312"/>
          <w:sz w:val="32"/>
          <w:szCs w:val="32"/>
        </w:rPr>
        <w:t>万元，</w:t>
      </w:r>
      <w:r>
        <w:rPr>
          <w:rFonts w:hint="eastAsia" w:ascii="仿宋_GB2312" w:eastAsia="仿宋_GB2312"/>
          <w:sz w:val="32"/>
          <w:szCs w:val="32"/>
        </w:rPr>
        <w:t>其中：一般公共预算98.28万元;</w:t>
      </w:r>
      <w:r>
        <w:rPr>
          <w:rFonts w:ascii="仿宋_GB2312" w:hAnsi="Times New Roman" w:eastAsia="仿宋_GB2312"/>
          <w:sz w:val="32"/>
          <w:szCs w:val="32"/>
        </w:rPr>
        <w:t xml:space="preserve"> 政府性基金收入</w:t>
      </w:r>
      <w:r>
        <w:rPr>
          <w:rFonts w:hint="eastAsia" w:ascii="仿宋_GB2312" w:eastAsia="仿宋_GB2312"/>
          <w:sz w:val="32"/>
          <w:szCs w:val="32"/>
        </w:rPr>
        <w:t>0</w:t>
      </w:r>
      <w:r>
        <w:rPr>
          <w:rFonts w:ascii="仿宋_GB2312" w:hAnsi="Times New Roman" w:eastAsia="仿宋_GB2312"/>
          <w:sz w:val="32"/>
          <w:szCs w:val="32"/>
        </w:rPr>
        <w:t>万元；</w:t>
      </w:r>
      <w:r>
        <w:rPr>
          <w:rFonts w:hint="eastAsia" w:ascii="仿宋_GB2312" w:eastAsia="仿宋_GB2312"/>
          <w:sz w:val="32"/>
          <w:szCs w:val="32"/>
        </w:rPr>
        <w:t>部门财政性资金结转0万元。</w:t>
      </w:r>
    </w:p>
    <w:p>
      <w:pPr>
        <w:spacing w:line="574" w:lineRule="exact"/>
        <w:ind w:firstLine="640" w:firstLineChars="200"/>
        <w:rPr>
          <w:rFonts w:ascii="仿宋_GB2312" w:eastAsia="仿宋_GB2312"/>
          <w:sz w:val="32"/>
          <w:szCs w:val="32"/>
        </w:rPr>
      </w:pPr>
      <w:r>
        <w:rPr>
          <w:rFonts w:hint="eastAsia" w:ascii="黑体" w:hAnsi="黑体" w:eastAsia="黑体"/>
          <w:sz w:val="32"/>
          <w:szCs w:val="32"/>
        </w:rPr>
        <w:t>三、支出预算总体情况说明</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民革新乡市委</w:t>
      </w:r>
      <w:r>
        <w:rPr>
          <w:rFonts w:hint="eastAsia" w:ascii="仿宋_GB2312" w:hAnsi="宋体" w:eastAsia="仿宋_GB2312" w:cs="Courier New"/>
          <w:sz w:val="32"/>
          <w:szCs w:val="32"/>
        </w:rPr>
        <w:t>2020年支出合计</w:t>
      </w:r>
      <w:r>
        <w:rPr>
          <w:rFonts w:hint="eastAsia" w:ascii="仿宋_GB2312" w:eastAsia="仿宋_GB2312"/>
          <w:sz w:val="32"/>
          <w:szCs w:val="32"/>
        </w:rPr>
        <w:t>98.28</w:t>
      </w:r>
      <w:r>
        <w:rPr>
          <w:rFonts w:hint="eastAsia" w:ascii="仿宋_GB2312" w:hAnsi="宋体" w:eastAsia="仿宋_GB2312" w:cs="Courier New"/>
          <w:sz w:val="32"/>
          <w:szCs w:val="32"/>
        </w:rPr>
        <w:t>万元，其中：基本支出96.84万元，占</w:t>
      </w:r>
      <w:r>
        <w:rPr>
          <w:rFonts w:hint="eastAsia" w:ascii="仿宋_GB2312" w:eastAsia="仿宋_GB2312"/>
          <w:sz w:val="32"/>
          <w:szCs w:val="32"/>
        </w:rPr>
        <w:t>98.53</w:t>
      </w:r>
      <w:r>
        <w:rPr>
          <w:rFonts w:ascii="仿宋_GB2312" w:hAnsi="宋体" w:eastAsia="仿宋_GB2312" w:cs="Courier New"/>
          <w:sz w:val="32"/>
          <w:szCs w:val="32"/>
        </w:rPr>
        <w:t>%</w:t>
      </w:r>
      <w:r>
        <w:rPr>
          <w:rFonts w:hint="eastAsia" w:ascii="仿宋_GB2312" w:hAnsi="宋体" w:eastAsia="仿宋_GB2312" w:cs="Courier New"/>
          <w:sz w:val="32"/>
          <w:szCs w:val="32"/>
        </w:rPr>
        <w:t>；项目支出1.44万元，占</w:t>
      </w:r>
      <w:r>
        <w:rPr>
          <w:rFonts w:hint="eastAsia" w:ascii="仿宋_GB2312" w:eastAsia="仿宋_GB2312"/>
          <w:sz w:val="32"/>
          <w:szCs w:val="32"/>
        </w:rPr>
        <w:t>1.47</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spacing w:line="574" w:lineRule="exact"/>
        <w:ind w:firstLine="640" w:firstLineChars="200"/>
        <w:rPr>
          <w:rFonts w:ascii="仿宋_GB2312" w:eastAsia="仿宋_GB2312"/>
          <w:sz w:val="32"/>
          <w:szCs w:val="32"/>
        </w:rPr>
      </w:pPr>
      <w:r>
        <w:rPr>
          <w:rFonts w:hint="eastAsia" w:ascii="黑体" w:hAnsi="黑体" w:eastAsia="黑体"/>
          <w:sz w:val="32"/>
          <w:szCs w:val="32"/>
        </w:rPr>
        <w:t>四、财政拨款收入支出预算总体情况说明</w:t>
      </w:r>
    </w:p>
    <w:p>
      <w:pPr>
        <w:shd w:val="clear" w:color="auto" w:fill="FFFFFF"/>
        <w:adjustRightInd w:val="0"/>
        <w:snapToGrid w:val="0"/>
        <w:spacing w:line="574" w:lineRule="exact"/>
        <w:ind w:firstLine="640" w:firstLineChars="200"/>
        <w:rPr>
          <w:rFonts w:ascii="仿宋_GB2312" w:hAnsi="宋体" w:eastAsia="仿宋_GB2312" w:cs="Courier New"/>
          <w:sz w:val="32"/>
          <w:szCs w:val="32"/>
        </w:rPr>
      </w:pPr>
      <w:r>
        <w:rPr>
          <w:rFonts w:hint="eastAsia" w:ascii="仿宋_GB2312" w:eastAsia="仿宋_GB2312"/>
          <w:sz w:val="32"/>
          <w:szCs w:val="32"/>
        </w:rPr>
        <w:t>民革新乡市委</w:t>
      </w:r>
      <w:r>
        <w:rPr>
          <w:rFonts w:hint="eastAsia" w:ascii="仿宋_GB2312" w:hAnsi="宋体" w:eastAsia="仿宋_GB2312" w:cs="Courier New"/>
          <w:sz w:val="32"/>
          <w:szCs w:val="32"/>
        </w:rPr>
        <w:t>2020年一般公共预算收支预算</w:t>
      </w:r>
      <w:r>
        <w:rPr>
          <w:rFonts w:hint="eastAsia" w:ascii="仿宋_GB2312" w:eastAsia="仿宋_GB2312"/>
          <w:sz w:val="32"/>
          <w:szCs w:val="32"/>
        </w:rPr>
        <w:t>98.28</w:t>
      </w:r>
      <w:r>
        <w:rPr>
          <w:rFonts w:hint="eastAsia" w:ascii="仿宋_GB2312" w:hAnsi="宋体" w:eastAsia="仿宋_GB2312" w:cs="Courier New"/>
          <w:sz w:val="32"/>
          <w:szCs w:val="32"/>
        </w:rPr>
        <w:t>万元，政府性基金收支预算0万元。与 2019年相比，一般公共预算收支预算增加4.22万元，增长4.49%，主要原因：</w:t>
      </w:r>
      <w:r>
        <w:rPr>
          <w:rFonts w:hint="eastAsia" w:ascii="仿宋_GB2312" w:hAnsi="宋体" w:eastAsia="仿宋_GB2312" w:cs="Courier New"/>
          <w:color w:val="000000"/>
          <w:sz w:val="32"/>
          <w:szCs w:val="32"/>
        </w:rPr>
        <w:t>19年单位调出人员1人，新调入人员1人，2019年工资调整</w:t>
      </w:r>
      <w:r>
        <w:rPr>
          <w:rFonts w:hint="eastAsia" w:ascii="仿宋_GB2312" w:hAnsi="宋体" w:eastAsia="仿宋_GB2312" w:cs="Courier New"/>
          <w:sz w:val="32"/>
          <w:szCs w:val="32"/>
        </w:rPr>
        <w:t>；政府性基金收支预算增加0万元，增长0%。</w:t>
      </w:r>
    </w:p>
    <w:p>
      <w:pPr>
        <w:adjustRightInd w:val="0"/>
        <w:snapToGrid w:val="0"/>
        <w:spacing w:line="574" w:lineRule="exact"/>
        <w:ind w:firstLine="640" w:firstLineChars="200"/>
        <w:rPr>
          <w:rFonts w:ascii="仿宋_GB2312" w:hAnsi="宋体" w:eastAsia="仿宋_GB2312" w:cs="Courier New"/>
          <w:sz w:val="32"/>
          <w:szCs w:val="32"/>
        </w:rPr>
      </w:pPr>
      <w:r>
        <w:rPr>
          <w:rFonts w:hint="eastAsia" w:ascii="黑体" w:hAnsi="黑体" w:eastAsia="黑体"/>
          <w:sz w:val="32"/>
          <w:szCs w:val="32"/>
        </w:rPr>
        <w:t>五、一般公共预算支出预算情况说明</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民革新乡市委</w:t>
      </w:r>
      <w:r>
        <w:rPr>
          <w:rFonts w:ascii="仿宋_GB2312" w:hAnsi="宋体" w:eastAsia="仿宋_GB2312" w:cs="Courier New"/>
          <w:sz w:val="32"/>
          <w:szCs w:val="32"/>
        </w:rPr>
        <w:t>20</w:t>
      </w:r>
      <w:r>
        <w:rPr>
          <w:rFonts w:hint="eastAsia" w:ascii="仿宋_GB2312" w:hAnsi="宋体" w:eastAsia="仿宋_GB2312" w:cs="Courier New"/>
          <w:sz w:val="32"/>
          <w:szCs w:val="32"/>
        </w:rPr>
        <w:t>20年一般公共预算支出年初预算为</w:t>
      </w:r>
      <w:r>
        <w:rPr>
          <w:rFonts w:hint="eastAsia" w:ascii="仿宋_GB2312" w:eastAsia="仿宋_GB2312"/>
          <w:sz w:val="32"/>
          <w:szCs w:val="32"/>
        </w:rPr>
        <w:t>98.28</w:t>
      </w:r>
      <w:r>
        <w:rPr>
          <w:rFonts w:hint="eastAsia" w:ascii="仿宋_GB2312" w:hAnsi="宋体" w:eastAsia="仿宋_GB2312" w:cs="Courier New"/>
          <w:sz w:val="32"/>
          <w:szCs w:val="32"/>
        </w:rPr>
        <w:t>万元。主要用于以下方面：一般公共服务支出</w:t>
      </w:r>
      <w:r>
        <w:rPr>
          <w:rFonts w:hint="eastAsia" w:ascii="仿宋_GB2312" w:eastAsia="仿宋_GB2312"/>
          <w:sz w:val="32"/>
          <w:szCs w:val="32"/>
        </w:rPr>
        <w:t>76.02</w:t>
      </w:r>
      <w:r>
        <w:rPr>
          <w:rFonts w:hint="eastAsia" w:ascii="仿宋_GB2312" w:hAnsi="宋体" w:eastAsia="仿宋_GB2312" w:cs="Courier New"/>
          <w:sz w:val="32"/>
          <w:szCs w:val="32"/>
        </w:rPr>
        <w:t>万元，占</w:t>
      </w:r>
      <w:r>
        <w:rPr>
          <w:rFonts w:hint="eastAsia" w:ascii="仿宋_GB2312" w:eastAsia="仿宋_GB2312"/>
          <w:sz w:val="32"/>
          <w:szCs w:val="32"/>
        </w:rPr>
        <w:t>77.35</w:t>
      </w:r>
      <w:r>
        <w:rPr>
          <w:rFonts w:hint="eastAsia" w:ascii="仿宋_GB2312" w:hAnsi="宋体" w:eastAsia="仿宋_GB2312" w:cs="Courier New"/>
          <w:sz w:val="32"/>
          <w:szCs w:val="32"/>
        </w:rPr>
        <w:t>%；社会保障和就业支出16.96万元，占17.26%；卫生健康支出5.30万元，占5.39%。</w:t>
      </w:r>
    </w:p>
    <w:p>
      <w:pPr>
        <w:spacing w:line="574" w:lineRule="exact"/>
        <w:ind w:firstLine="640" w:firstLineChars="200"/>
        <w:rPr>
          <w:rFonts w:ascii="仿宋_GB2312" w:eastAsia="仿宋_GB2312"/>
          <w:sz w:val="32"/>
          <w:szCs w:val="32"/>
        </w:rPr>
      </w:pPr>
      <w:r>
        <w:rPr>
          <w:rFonts w:hint="eastAsia" w:ascii="黑体" w:hAnsi="Times New Roman" w:eastAsia="黑体" w:cs="黑体"/>
          <w:kern w:val="0"/>
          <w:sz w:val="32"/>
          <w:szCs w:val="32"/>
        </w:rPr>
        <w:t>六、一般公共预算基本支出预算情况说明</w:t>
      </w:r>
    </w:p>
    <w:p>
      <w:pPr>
        <w:spacing w:line="574" w:lineRule="exact"/>
        <w:ind w:firstLine="640" w:firstLineChars="200"/>
        <w:rPr>
          <w:rFonts w:ascii="仿宋_GB2312" w:hAnsi="宋体" w:eastAsia="仿宋_GB2312" w:cs="Courier New"/>
          <w:sz w:val="32"/>
          <w:szCs w:val="32"/>
        </w:rPr>
      </w:pPr>
      <w:r>
        <w:rPr>
          <w:rFonts w:hint="eastAsia" w:ascii="仿宋_GB2312" w:eastAsia="仿宋_GB2312"/>
          <w:sz w:val="32"/>
          <w:szCs w:val="32"/>
        </w:rPr>
        <w:t>民革新乡市委</w:t>
      </w:r>
      <w:r>
        <w:rPr>
          <w:rFonts w:ascii="仿宋_GB2312" w:hAnsi="宋体" w:eastAsia="仿宋_GB2312" w:cs="Courier New"/>
          <w:sz w:val="32"/>
          <w:szCs w:val="32"/>
        </w:rPr>
        <w:t>20</w:t>
      </w:r>
      <w:r>
        <w:rPr>
          <w:rFonts w:hint="eastAsia" w:ascii="仿宋_GB2312" w:hAnsi="宋体" w:eastAsia="仿宋_GB2312" w:cs="Courier New"/>
          <w:sz w:val="32"/>
          <w:szCs w:val="32"/>
        </w:rPr>
        <w:t>20</w:t>
      </w:r>
      <w:r>
        <w:rPr>
          <w:rFonts w:ascii="仿宋_GB2312" w:hAnsi="宋体" w:eastAsia="仿宋_GB2312" w:cs="Courier New"/>
          <w:sz w:val="32"/>
          <w:szCs w:val="32"/>
        </w:rPr>
        <w:t>年</w:t>
      </w:r>
      <w:r>
        <w:rPr>
          <w:rFonts w:hint="eastAsia" w:ascii="仿宋_GB2312" w:hAnsi="宋体" w:eastAsia="仿宋_GB2312" w:cs="Courier New"/>
          <w:sz w:val="32"/>
          <w:szCs w:val="32"/>
        </w:rPr>
        <w:t>一般公共预算基本支出</w:t>
      </w:r>
      <w:r>
        <w:rPr>
          <w:rFonts w:hint="eastAsia" w:ascii="仿宋_GB2312" w:eastAsia="仿宋_GB2312"/>
          <w:sz w:val="32"/>
          <w:szCs w:val="32"/>
        </w:rPr>
        <w:t>96.84</w:t>
      </w:r>
      <w:r>
        <w:rPr>
          <w:rFonts w:hint="eastAsia" w:ascii="仿宋_GB2312" w:hAnsi="宋体" w:eastAsia="仿宋_GB2312" w:cs="Courier New"/>
          <w:sz w:val="32"/>
          <w:szCs w:val="32"/>
        </w:rPr>
        <w:t>万元，其中：</w:t>
      </w:r>
      <w:r>
        <w:rPr>
          <w:rFonts w:hint="eastAsia" w:ascii="仿宋_GB2312" w:hAnsi="Times New Roman" w:eastAsia="仿宋_GB2312" w:cs="仿宋_GB2312"/>
          <w:spacing w:val="-1"/>
          <w:kern w:val="0"/>
          <w:sz w:val="32"/>
          <w:szCs w:val="32"/>
        </w:rPr>
        <w:t>工资福利支出69.83万元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主要包括：基本工资、津贴补贴、奖金、机关事业单位基本养老保险缴费、职工基本医疗保险缴费、公务员医疗补助缴费、其他社会保障缴费、住房公积金）</w:t>
      </w:r>
      <w:r>
        <w:rPr>
          <w:rFonts w:hint="eastAsia" w:ascii="仿宋_GB2312" w:hAnsi="Times New Roman" w:eastAsia="仿宋_GB2312" w:cs="仿宋_GB2312"/>
          <w:spacing w:val="-1"/>
          <w:kern w:val="0"/>
          <w:sz w:val="32"/>
          <w:szCs w:val="32"/>
        </w:rPr>
        <w:t>；商品和服务支出16.09万元</w:t>
      </w:r>
      <w:r>
        <w:rPr>
          <w:rFonts w:hint="eastAsia" w:ascii="仿宋" w:hAnsi="仿宋" w:eastAsia="仿宋" w:cs="仿宋"/>
          <w:kern w:val="0"/>
          <w:sz w:val="32"/>
          <w:szCs w:val="32"/>
          <w:lang w:val="en-US" w:eastAsia="zh-CN"/>
        </w:rPr>
        <w:t>（主要包括：办公费、委托业务费、工会经费、福利费、其他交通费用、其他商品和服务支出）</w:t>
      </w:r>
      <w:r>
        <w:rPr>
          <w:rFonts w:hint="eastAsia" w:ascii="仿宋_GB2312" w:hAnsi="Times New Roman" w:eastAsia="仿宋_GB2312" w:cs="仿宋_GB2312"/>
          <w:spacing w:val="-1"/>
          <w:kern w:val="0"/>
          <w:sz w:val="32"/>
          <w:szCs w:val="32"/>
        </w:rPr>
        <w:t>；对个人和家庭补助支出10.92万元</w:t>
      </w:r>
      <w:r>
        <w:rPr>
          <w:rFonts w:hint="eastAsia" w:ascii="仿宋" w:hAnsi="仿宋" w:eastAsia="仿宋" w:cs="仿宋"/>
          <w:kern w:val="0"/>
          <w:sz w:val="32"/>
          <w:szCs w:val="32"/>
          <w:lang w:val="en-US" w:eastAsia="zh-CN"/>
        </w:rPr>
        <w:t>（主要包括：退休费）</w:t>
      </w:r>
      <w:bookmarkStart w:id="8" w:name="_GoBack"/>
      <w:bookmarkEnd w:id="8"/>
      <w:r>
        <w:rPr>
          <w:rFonts w:hint="eastAsia" w:ascii="仿宋_GB2312" w:hAnsi="Times New Roman" w:eastAsia="仿宋_GB2312" w:cs="仿宋_GB2312"/>
          <w:spacing w:val="-1"/>
          <w:kern w:val="0"/>
          <w:sz w:val="32"/>
          <w:szCs w:val="32"/>
        </w:rPr>
        <w:t>。</w:t>
      </w:r>
    </w:p>
    <w:p>
      <w:pPr>
        <w:spacing w:line="574" w:lineRule="exact"/>
        <w:ind w:firstLine="640" w:firstLineChars="200"/>
        <w:rPr>
          <w:rFonts w:ascii="黑体" w:hAnsi="黑体" w:eastAsia="黑体" w:cs="Courier New"/>
          <w:sz w:val="32"/>
          <w:szCs w:val="32"/>
        </w:rPr>
      </w:pPr>
      <w:r>
        <w:rPr>
          <w:rFonts w:hint="eastAsia" w:ascii="黑体" w:hAnsi="黑体" w:eastAsia="黑体" w:cs="Courier New"/>
          <w:sz w:val="32"/>
          <w:szCs w:val="32"/>
        </w:rPr>
        <w:t>七、一般公共预算项目支出情况说明</w:t>
      </w:r>
    </w:p>
    <w:p>
      <w:pPr>
        <w:spacing w:line="574" w:lineRule="exact"/>
        <w:ind w:firstLine="640" w:firstLineChars="200"/>
        <w:rPr>
          <w:rFonts w:ascii="仿宋_GB2312" w:hAnsi="仿宋" w:eastAsia="仿宋_GB2312" w:cs="FangSong_GB2312+FPEF"/>
          <w:kern w:val="0"/>
          <w:sz w:val="32"/>
          <w:szCs w:val="32"/>
        </w:rPr>
      </w:pPr>
      <w:bookmarkStart w:id="0" w:name="_Hlk2003437"/>
      <w:r>
        <w:rPr>
          <w:rFonts w:hint="eastAsia" w:ascii="仿宋_GB2312" w:hAnsi="仿宋" w:eastAsia="仿宋_GB2312" w:cs="FangSong_GB2312+FPEF"/>
          <w:kern w:val="0"/>
          <w:sz w:val="32"/>
          <w:szCs w:val="32"/>
        </w:rPr>
        <w:t>2020年一般公共预算安排项目支出预算1.44万元，全部纳入项目绩效目标管理。其中：运转类项目1.44万元、投资类项目0万元、专项资金项目0万元，其他类项目0万元。主要预算支出项目如下：政协主席调研费。</w:t>
      </w:r>
    </w:p>
    <w:bookmarkEnd w:id="0"/>
    <w:p>
      <w:pPr>
        <w:spacing w:line="574" w:lineRule="exact"/>
        <w:ind w:firstLine="640" w:firstLineChars="200"/>
        <w:rPr>
          <w:rFonts w:ascii="黑体" w:hAnsi="黑体" w:eastAsia="黑体" w:cs="Courier New"/>
          <w:sz w:val="32"/>
          <w:szCs w:val="32"/>
        </w:rPr>
      </w:pPr>
      <w:r>
        <w:rPr>
          <w:rFonts w:hint="eastAsia" w:ascii="黑体" w:hAnsi="黑体" w:eastAsia="黑体" w:cs="Courier New"/>
          <w:sz w:val="32"/>
          <w:szCs w:val="32"/>
        </w:rPr>
        <w:t>八、一般公共预算管理项目情况</w:t>
      </w:r>
    </w:p>
    <w:p>
      <w:pPr>
        <w:spacing w:line="574" w:lineRule="exact"/>
        <w:ind w:firstLine="640" w:firstLineChars="200"/>
        <w:rPr>
          <w:rFonts w:ascii="仿宋_GB2312" w:hAnsi="仿宋" w:eastAsia="仿宋_GB2312" w:cs="Courier New"/>
          <w:sz w:val="32"/>
          <w:szCs w:val="32"/>
        </w:rPr>
      </w:pPr>
      <w:bookmarkStart w:id="1" w:name="_Hlk2003598"/>
      <w:r>
        <w:rPr>
          <w:rFonts w:hint="eastAsia" w:ascii="仿宋_GB2312" w:hAnsi="仿宋" w:eastAsia="仿宋_GB2312" w:cs="Courier New"/>
          <w:sz w:val="32"/>
          <w:szCs w:val="32"/>
        </w:rPr>
        <w:t>2020年，未列入部门支出，但由本部门管理的一般公共预算项目共0个，预算金额0万元。</w:t>
      </w:r>
    </w:p>
    <w:bookmarkEnd w:id="1"/>
    <w:p>
      <w:pPr>
        <w:spacing w:line="574" w:lineRule="exact"/>
        <w:ind w:firstLine="640" w:firstLineChars="200"/>
        <w:rPr>
          <w:rFonts w:ascii="仿宋_GB2312" w:eastAsia="仿宋_GB2312"/>
          <w:sz w:val="32"/>
          <w:szCs w:val="32"/>
        </w:rPr>
      </w:pPr>
      <w:r>
        <w:rPr>
          <w:rFonts w:hint="eastAsia" w:ascii="黑体" w:hAnsi="Times New Roman" w:eastAsia="黑体" w:cs="黑体"/>
          <w:kern w:val="0"/>
          <w:sz w:val="32"/>
          <w:szCs w:val="32"/>
        </w:rPr>
        <w:t>九、一般公共预算“三公”经费支出预算情况说明</w:t>
      </w:r>
    </w:p>
    <w:p>
      <w:pPr>
        <w:spacing w:line="574" w:lineRule="exact"/>
        <w:ind w:firstLine="640" w:firstLineChars="200"/>
        <w:rPr>
          <w:rFonts w:ascii="仿宋_GB2312" w:hAnsi="宋体" w:eastAsia="仿宋_GB2312" w:cs="Courier New"/>
          <w:sz w:val="32"/>
          <w:szCs w:val="32"/>
        </w:rPr>
      </w:pPr>
      <w:r>
        <w:rPr>
          <w:rFonts w:hint="eastAsia" w:ascii="仿宋_GB2312" w:eastAsia="仿宋_GB2312"/>
          <w:sz w:val="32"/>
          <w:szCs w:val="32"/>
        </w:rPr>
        <w:t>民革新乡市委</w:t>
      </w:r>
      <w:r>
        <w:rPr>
          <w:rFonts w:hint="eastAsia" w:ascii="仿宋_GB2312" w:hAnsi="宋体" w:eastAsia="仿宋_GB2312" w:cs="Courier New"/>
          <w:sz w:val="32"/>
          <w:szCs w:val="32"/>
        </w:rPr>
        <w:t>2020年“三公”经费预算为</w:t>
      </w:r>
      <w:r>
        <w:rPr>
          <w:rFonts w:hint="eastAsia" w:ascii="仿宋_GB2312" w:eastAsia="仿宋_GB2312"/>
          <w:sz w:val="32"/>
          <w:szCs w:val="32"/>
        </w:rPr>
        <w:t>0</w:t>
      </w:r>
      <w:r>
        <w:rPr>
          <w:rFonts w:hint="eastAsia" w:ascii="仿宋_GB2312" w:hAnsi="宋体" w:eastAsia="仿宋_GB2312" w:cs="Courier New"/>
          <w:sz w:val="32"/>
          <w:szCs w:val="32"/>
        </w:rPr>
        <w:t>万元。2020年“三公”经费支出预算数比2019年增加减少0万元。具体情况如下：</w:t>
      </w:r>
    </w:p>
    <w:p>
      <w:pPr>
        <w:kinsoku w:val="0"/>
        <w:overflowPunct w:val="0"/>
        <w:autoSpaceDE w:val="0"/>
        <w:autoSpaceDN w:val="0"/>
        <w:adjustRightInd w:val="0"/>
        <w:snapToGrid w:val="0"/>
        <w:spacing w:line="574" w:lineRule="exact"/>
        <w:ind w:firstLine="639" w:firstLineChars="200"/>
        <w:rPr>
          <w:rFonts w:ascii="仿宋_GB2312" w:hAnsi="宋体" w:eastAsia="仿宋_GB2312" w:cs="Courier New"/>
          <w:sz w:val="32"/>
          <w:szCs w:val="32"/>
        </w:rPr>
      </w:pPr>
      <w:r>
        <w:rPr>
          <w:rFonts w:hint="eastAsia" w:ascii="仿宋_GB2312" w:hAnsi="Times New Roman" w:eastAsia="仿宋_GB2312" w:cs="仿宋_GB2312"/>
          <w:b/>
          <w:spacing w:val="-1"/>
          <w:kern w:val="0"/>
          <w:sz w:val="32"/>
          <w:szCs w:val="32"/>
        </w:rPr>
        <w:t>（一）因公出国（境）费</w:t>
      </w:r>
      <w:r>
        <w:rPr>
          <w:rFonts w:hint="eastAsia" w:ascii="仿宋_GB2312" w:eastAsia="仿宋_GB2312"/>
          <w:sz w:val="32"/>
          <w:szCs w:val="32"/>
        </w:rPr>
        <w:t>0</w:t>
      </w:r>
      <w:r>
        <w:rPr>
          <w:rFonts w:hint="eastAsia" w:ascii="仿宋_GB2312" w:hAnsi="Times New Roman" w:eastAsia="仿宋_GB2312"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主要用于单位工作人员公务出国（境）的住宿费、旅费、伙食补助费、杂费、培训费等支出。预算数比 2019年增加0万元。主要原因：无因公出国费。</w:t>
      </w:r>
    </w:p>
    <w:p>
      <w:pPr>
        <w:kinsoku w:val="0"/>
        <w:overflowPunct w:val="0"/>
        <w:autoSpaceDE w:val="0"/>
        <w:autoSpaceDN w:val="0"/>
        <w:adjustRightInd w:val="0"/>
        <w:snapToGrid w:val="0"/>
        <w:spacing w:line="574" w:lineRule="exact"/>
        <w:ind w:firstLine="640"/>
        <w:rPr>
          <w:rFonts w:ascii="仿宋_GB2312" w:hAnsi="宋体" w:eastAsia="仿宋_GB2312" w:cs="Courier New"/>
          <w:sz w:val="32"/>
          <w:szCs w:val="32"/>
        </w:rPr>
      </w:pPr>
      <w:r>
        <w:rPr>
          <w:rFonts w:hint="eastAsia" w:ascii="仿宋_GB2312" w:hAnsi="Times New Roman" w:eastAsia="仿宋_GB2312" w:cs="仿宋_GB2312"/>
          <w:b/>
          <w:spacing w:val="-1"/>
          <w:kern w:val="0"/>
          <w:sz w:val="32"/>
          <w:szCs w:val="32"/>
        </w:rPr>
        <w:t>（二）公务用车购置及运行费</w:t>
      </w:r>
      <w:r>
        <w:rPr>
          <w:rFonts w:hint="eastAsia" w:ascii="仿宋_GB2312" w:eastAsia="仿宋_GB2312"/>
          <w:sz w:val="32"/>
          <w:szCs w:val="32"/>
        </w:rPr>
        <w:t>0</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元。其中，公务用车购置费0万元；公务用车运行维护费0万元，主要用于开展工作所需公务用车的燃料费、维修费、过路过桥费、保险费、安全奖励费用等支出。公务用车购置费预算数比 2019 年增加0万元，主要原因：无变化。公务用车运行维护费预算数比 2019年增加0万元，主要原因：无公务用车购置费。</w:t>
      </w:r>
    </w:p>
    <w:p>
      <w:pPr>
        <w:spacing w:line="574" w:lineRule="exact"/>
        <w:ind w:firstLine="639" w:firstLineChars="200"/>
        <w:rPr>
          <w:rFonts w:ascii="仿宋_GB2312" w:eastAsia="仿宋_GB2312"/>
          <w:sz w:val="32"/>
          <w:szCs w:val="32"/>
        </w:rPr>
      </w:pPr>
      <w:r>
        <w:rPr>
          <w:rFonts w:hint="eastAsia" w:ascii="仿宋_GB2312" w:hAnsi="Times New Roman" w:eastAsia="仿宋_GB2312" w:cs="仿宋_GB2312"/>
          <w:b/>
          <w:spacing w:val="-1"/>
          <w:kern w:val="0"/>
          <w:sz w:val="32"/>
          <w:szCs w:val="32"/>
        </w:rPr>
        <w:t>（三）公务接待费</w:t>
      </w:r>
      <w:r>
        <w:rPr>
          <w:rFonts w:hint="eastAsia" w:ascii="仿宋_GB2312" w:eastAsia="仿宋_GB2312"/>
          <w:sz w:val="32"/>
          <w:szCs w:val="32"/>
        </w:rPr>
        <w:t>0</w:t>
      </w:r>
      <w:r>
        <w:rPr>
          <w:rFonts w:hint="eastAsia" w:ascii="仿宋_GB2312" w:hAnsi="宋体" w:eastAsia="仿宋_GB2312" w:cs="Courier New"/>
          <w:sz w:val="32"/>
          <w:szCs w:val="32"/>
        </w:rPr>
        <w:t>万元，主要用于按规定开支的各类公务接待（含外宾接待）支出。预算数比</w:t>
      </w:r>
      <w:r>
        <w:rPr>
          <w:rFonts w:ascii="仿宋_GB2312" w:hAnsi="宋体" w:eastAsia="仿宋_GB2312" w:cs="Courier New"/>
          <w:sz w:val="32"/>
          <w:szCs w:val="32"/>
        </w:rPr>
        <w:t>201</w:t>
      </w:r>
      <w:r>
        <w:rPr>
          <w:rFonts w:hint="eastAsia" w:ascii="仿宋_GB2312" w:hAnsi="宋体" w:eastAsia="仿宋_GB2312" w:cs="Courier New"/>
          <w:sz w:val="32"/>
          <w:szCs w:val="32"/>
        </w:rPr>
        <w:t>9年增加</w:t>
      </w:r>
      <w:r>
        <w:rPr>
          <w:rFonts w:hint="eastAsia" w:ascii="仿宋_GB2312" w:eastAsia="仿宋_GB2312"/>
          <w:sz w:val="32"/>
          <w:szCs w:val="32"/>
        </w:rPr>
        <w:t>0</w:t>
      </w:r>
      <w:r>
        <w:rPr>
          <w:rFonts w:hint="eastAsia" w:ascii="仿宋_GB2312" w:hAnsi="宋体" w:eastAsia="仿宋_GB2312" w:cs="Courier New"/>
          <w:sz w:val="32"/>
          <w:szCs w:val="32"/>
        </w:rPr>
        <w:t>万元。主要原因：</w:t>
      </w:r>
      <w:r>
        <w:rPr>
          <w:rFonts w:hint="eastAsia" w:ascii="仿宋_GB2312" w:eastAsia="仿宋_GB2312"/>
          <w:sz w:val="32"/>
          <w:szCs w:val="32"/>
        </w:rPr>
        <w:t>无公务接待费。</w:t>
      </w:r>
    </w:p>
    <w:p>
      <w:pPr>
        <w:spacing w:line="574" w:lineRule="exact"/>
        <w:ind w:firstLine="640" w:firstLineChars="200"/>
        <w:rPr>
          <w:rFonts w:ascii="仿宋_GB2312" w:eastAsia="仿宋_GB2312"/>
          <w:sz w:val="32"/>
          <w:szCs w:val="32"/>
        </w:rPr>
      </w:pPr>
      <w:r>
        <w:rPr>
          <w:rFonts w:hint="eastAsia" w:ascii="黑体" w:hAnsi="Times New Roman" w:eastAsia="黑体" w:cs="黑体"/>
          <w:kern w:val="0"/>
          <w:sz w:val="32"/>
          <w:szCs w:val="32"/>
        </w:rPr>
        <w:t>十、政府性基金预算支出情况说明</w:t>
      </w:r>
    </w:p>
    <w:p>
      <w:pPr>
        <w:spacing w:line="574" w:lineRule="exact"/>
        <w:ind w:firstLine="640" w:firstLineChars="200"/>
        <w:rPr>
          <w:rFonts w:ascii="仿宋_GB2312" w:hAnsi="宋体" w:eastAsia="仿宋_GB2312" w:cs="Courier New"/>
          <w:sz w:val="32"/>
          <w:szCs w:val="32"/>
        </w:rPr>
      </w:pPr>
      <w:r>
        <w:rPr>
          <w:rFonts w:hint="eastAsia" w:ascii="仿宋_GB2312" w:eastAsia="仿宋_GB2312"/>
          <w:sz w:val="32"/>
          <w:szCs w:val="32"/>
        </w:rPr>
        <w:t>民革新乡市委</w:t>
      </w:r>
      <w:r>
        <w:rPr>
          <w:rFonts w:ascii="仿宋_GB2312" w:hAnsi="宋体" w:eastAsia="仿宋_GB2312" w:cs="Courier New"/>
          <w:sz w:val="32"/>
          <w:szCs w:val="32"/>
        </w:rPr>
        <w:t>20</w:t>
      </w:r>
      <w:r>
        <w:rPr>
          <w:rFonts w:hint="eastAsia" w:ascii="仿宋_GB2312" w:hAnsi="宋体" w:eastAsia="仿宋_GB2312" w:cs="Courier New"/>
          <w:sz w:val="32"/>
          <w:szCs w:val="32"/>
        </w:rPr>
        <w:t>20年政府性基金预算支出年初预算为</w:t>
      </w:r>
      <w:r>
        <w:rPr>
          <w:rFonts w:hint="eastAsia" w:ascii="仿宋_GB2312" w:eastAsia="仿宋_GB2312"/>
          <w:sz w:val="32"/>
          <w:szCs w:val="32"/>
        </w:rPr>
        <w:t>0</w:t>
      </w:r>
      <w:r>
        <w:rPr>
          <w:rFonts w:hint="eastAsia" w:ascii="仿宋_GB2312" w:hAnsi="宋体" w:eastAsia="仿宋_GB2312" w:cs="Courier New"/>
          <w:sz w:val="32"/>
          <w:szCs w:val="32"/>
        </w:rPr>
        <w:t>万元。</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十一、政府性基金预算项目支出情况</w:t>
      </w:r>
    </w:p>
    <w:p>
      <w:pPr>
        <w:spacing w:line="574" w:lineRule="exact"/>
        <w:ind w:firstLine="640" w:firstLineChars="200"/>
        <w:rPr>
          <w:rFonts w:ascii="仿宋_GB2312" w:hAnsi="仿宋" w:eastAsia="仿宋_GB2312" w:cs="FangSong_GB2312+FPEF"/>
          <w:kern w:val="0"/>
          <w:sz w:val="32"/>
          <w:szCs w:val="32"/>
        </w:rPr>
      </w:pPr>
      <w:r>
        <w:rPr>
          <w:rFonts w:hint="eastAsia" w:ascii="仿宋_GB2312" w:hAnsi="仿宋" w:eastAsia="仿宋_GB2312" w:cs="FangSong_GB2312+FPEF"/>
          <w:kern w:val="0"/>
          <w:sz w:val="32"/>
          <w:szCs w:val="32"/>
        </w:rPr>
        <w:t>2020年政府性基金预算安排项目支出预算0万元，全部纳入项目绩效目标管理。其中：运转类项目0万元、投资类项目0万元、专项资金项目0万元、其他类项目0万元。</w:t>
      </w:r>
    </w:p>
    <w:p>
      <w:pPr>
        <w:spacing w:line="574" w:lineRule="exact"/>
        <w:ind w:firstLine="640" w:firstLineChars="200"/>
        <w:rPr>
          <w:rFonts w:ascii="黑体" w:hAnsi="黑体" w:eastAsia="黑体" w:cs="FangSong_GB2312+FPEF"/>
          <w:kern w:val="0"/>
          <w:sz w:val="32"/>
          <w:szCs w:val="32"/>
        </w:rPr>
      </w:pPr>
      <w:r>
        <w:rPr>
          <w:rFonts w:hint="eastAsia" w:ascii="黑体" w:hAnsi="黑体" w:eastAsia="黑体" w:cs="FangSong_GB2312+FPEF"/>
          <w:kern w:val="0"/>
          <w:sz w:val="32"/>
          <w:szCs w:val="32"/>
        </w:rPr>
        <w:t>十二、政府性基金预算管理项目情况</w:t>
      </w:r>
    </w:p>
    <w:p>
      <w:pPr>
        <w:spacing w:line="574" w:lineRule="exact"/>
        <w:ind w:firstLine="640" w:firstLineChars="200"/>
        <w:rPr>
          <w:rFonts w:ascii="仿宋_GB2312" w:hAnsi="仿宋" w:eastAsia="仿宋_GB2312" w:cs="Courier New"/>
          <w:sz w:val="32"/>
          <w:szCs w:val="32"/>
        </w:rPr>
      </w:pPr>
      <w:r>
        <w:rPr>
          <w:rFonts w:hint="eastAsia" w:ascii="仿宋_GB2312" w:hAnsi="仿宋" w:eastAsia="仿宋_GB2312" w:cs="Courier New"/>
          <w:sz w:val="32"/>
          <w:szCs w:val="32"/>
        </w:rPr>
        <w:t>2020年，未列入部门支出，但由本部门管理的政府性基金预算项目共0个，预算金额0万元。</w:t>
      </w:r>
    </w:p>
    <w:p>
      <w:pPr>
        <w:kinsoku w:val="0"/>
        <w:overflowPunct w:val="0"/>
        <w:autoSpaceDE w:val="0"/>
        <w:autoSpaceDN w:val="0"/>
        <w:adjustRightInd w:val="0"/>
        <w:snapToGrid w:val="0"/>
        <w:spacing w:line="574" w:lineRule="exact"/>
        <w:ind w:firstLine="640" w:firstLineChars="200"/>
        <w:rPr>
          <w:rFonts w:ascii="黑体" w:hAnsi="黑体" w:eastAsia="黑体" w:cs="Courier New"/>
          <w:sz w:val="32"/>
          <w:szCs w:val="32"/>
        </w:rPr>
      </w:pPr>
      <w:r>
        <w:rPr>
          <w:rFonts w:hint="eastAsia" w:ascii="黑体" w:hAnsi="黑体" w:eastAsia="黑体" w:cs="仿宋_GB2312"/>
          <w:kern w:val="0"/>
          <w:sz w:val="32"/>
          <w:szCs w:val="32"/>
        </w:rPr>
        <w:t>十三、机关运行经费支出情况</w:t>
      </w:r>
    </w:p>
    <w:p>
      <w:pPr>
        <w:kinsoku w:val="0"/>
        <w:overflowPunct w:val="0"/>
        <w:autoSpaceDE w:val="0"/>
        <w:autoSpaceDN w:val="0"/>
        <w:adjustRightInd w:val="0"/>
        <w:snapToGrid w:val="0"/>
        <w:spacing w:line="574" w:lineRule="exact"/>
        <w:ind w:firstLine="640" w:firstLineChars="200"/>
        <w:rPr>
          <w:rFonts w:ascii="仿宋_GB2312" w:hAnsi="宋体" w:eastAsia="仿宋_GB2312" w:cs="Courier New"/>
          <w:sz w:val="32"/>
          <w:szCs w:val="32"/>
        </w:rPr>
      </w:pPr>
      <w:r>
        <w:rPr>
          <w:rFonts w:hint="eastAsia" w:ascii="仿宋_GB2312" w:eastAsia="仿宋_GB2312"/>
          <w:sz w:val="32"/>
          <w:szCs w:val="32"/>
        </w:rPr>
        <w:t>民革新乡市委</w:t>
      </w:r>
      <w:r>
        <w:rPr>
          <w:rFonts w:ascii="仿宋_GB2312" w:hAnsi="宋体" w:eastAsia="仿宋_GB2312" w:cs="Courier New"/>
          <w:sz w:val="32"/>
          <w:szCs w:val="32"/>
        </w:rPr>
        <w:t>20</w:t>
      </w:r>
      <w:r>
        <w:rPr>
          <w:rFonts w:hint="eastAsia" w:ascii="仿宋_GB2312" w:hAnsi="宋体" w:eastAsia="仿宋_GB2312" w:cs="Courier New"/>
          <w:sz w:val="32"/>
          <w:szCs w:val="32"/>
        </w:rPr>
        <w:t>20</w:t>
      </w:r>
      <w:r>
        <w:rPr>
          <w:rFonts w:ascii="仿宋_GB2312" w:hAnsi="宋体" w:eastAsia="仿宋_GB2312" w:cs="Courier New"/>
          <w:sz w:val="32"/>
          <w:szCs w:val="32"/>
        </w:rPr>
        <w:t>年</w:t>
      </w:r>
      <w:r>
        <w:rPr>
          <w:rFonts w:hint="eastAsia" w:ascii="仿宋_GB2312" w:hAnsi="宋体" w:eastAsia="仿宋_GB2312" w:cs="Courier New"/>
          <w:sz w:val="32"/>
          <w:szCs w:val="32"/>
        </w:rPr>
        <w:t>运行经费支出预算11.86万元，</w:t>
      </w:r>
      <w:r>
        <w:rPr>
          <w:rFonts w:hint="eastAsia" w:ascii="仿宋_GB2312" w:eastAsia="仿宋_GB2312"/>
          <w:sz w:val="32"/>
          <w:szCs w:val="32"/>
        </w:rPr>
        <w:t>主要保障机构正常运转及正常履职需要</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574"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十四、政府采购及资产购置支出情况</w:t>
      </w:r>
    </w:p>
    <w:p>
      <w:pPr>
        <w:kinsoku w:val="0"/>
        <w:overflowPunct w:val="0"/>
        <w:autoSpaceDE w:val="0"/>
        <w:autoSpaceDN w:val="0"/>
        <w:adjustRightInd w:val="0"/>
        <w:snapToGrid w:val="0"/>
        <w:spacing w:line="574" w:lineRule="exact"/>
        <w:ind w:firstLine="640" w:firstLineChars="200"/>
        <w:rPr>
          <w:rFonts w:ascii="仿宋_GB2312" w:eastAsia="仿宋_GB2312"/>
          <w:sz w:val="32"/>
          <w:szCs w:val="32"/>
        </w:rPr>
      </w:pPr>
      <w:r>
        <w:rPr>
          <w:rFonts w:hint="eastAsia" w:ascii="仿宋_GB2312" w:eastAsia="仿宋_GB2312"/>
          <w:sz w:val="32"/>
          <w:szCs w:val="32"/>
        </w:rPr>
        <w:t>2020年政府采购预算安排1万元，其中：政府采购货物预算1万元、政府采购工程预算0万元、政府采购服务预算0万元。</w:t>
      </w:r>
    </w:p>
    <w:p>
      <w:pPr>
        <w:kinsoku w:val="0"/>
        <w:overflowPunct w:val="0"/>
        <w:autoSpaceDE w:val="0"/>
        <w:autoSpaceDN w:val="0"/>
        <w:adjustRightInd w:val="0"/>
        <w:snapToGrid w:val="0"/>
        <w:spacing w:line="574" w:lineRule="exact"/>
        <w:ind w:firstLine="640" w:firstLineChars="200"/>
        <w:rPr>
          <w:rFonts w:ascii="黑体" w:hAnsi="黑体" w:eastAsia="黑体"/>
          <w:sz w:val="32"/>
          <w:szCs w:val="32"/>
        </w:rPr>
      </w:pPr>
      <w:r>
        <w:rPr>
          <w:rFonts w:hint="eastAsia" w:ascii="黑体" w:hAnsi="黑体" w:eastAsia="黑体"/>
          <w:sz w:val="32"/>
          <w:szCs w:val="32"/>
        </w:rPr>
        <w:t>十五、政府购买服务支出情况</w:t>
      </w:r>
    </w:p>
    <w:p>
      <w:pPr>
        <w:kinsoku w:val="0"/>
        <w:overflowPunct w:val="0"/>
        <w:autoSpaceDE w:val="0"/>
        <w:autoSpaceDN w:val="0"/>
        <w:adjustRightInd w:val="0"/>
        <w:snapToGrid w:val="0"/>
        <w:spacing w:line="574" w:lineRule="exact"/>
        <w:ind w:firstLine="640" w:firstLineChars="200"/>
        <w:rPr>
          <w:rFonts w:ascii="仿宋_GB2312" w:eastAsia="仿宋_GB2312"/>
          <w:sz w:val="32"/>
          <w:szCs w:val="32"/>
        </w:rPr>
      </w:pPr>
      <w:r>
        <w:rPr>
          <w:rFonts w:hint="eastAsia" w:ascii="仿宋_GB2312" w:eastAsia="仿宋_GB2312"/>
          <w:sz w:val="32"/>
          <w:szCs w:val="32"/>
        </w:rPr>
        <w:t>2020年政府购买服务支出安排0万元。</w:t>
      </w:r>
    </w:p>
    <w:p>
      <w:pPr>
        <w:kinsoku w:val="0"/>
        <w:overflowPunct w:val="0"/>
        <w:autoSpaceDE w:val="0"/>
        <w:autoSpaceDN w:val="0"/>
        <w:adjustRightInd w:val="0"/>
        <w:snapToGrid w:val="0"/>
        <w:spacing w:line="574"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十六、预算绩效管理工作开展情况说明</w:t>
      </w:r>
    </w:p>
    <w:p>
      <w:pPr>
        <w:kinsoku w:val="0"/>
        <w:overflowPunct w:val="0"/>
        <w:autoSpaceDE w:val="0"/>
        <w:autoSpaceDN w:val="0"/>
        <w:adjustRightInd w:val="0"/>
        <w:snapToGrid w:val="0"/>
        <w:spacing w:line="574" w:lineRule="exact"/>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rPr>
        <w:t>9年，我单位对2018年所有项目进行绩效评价，涉及金额7.9万元，</w:t>
      </w:r>
    </w:p>
    <w:p>
      <w:pPr>
        <w:kinsoku w:val="0"/>
        <w:overflowPunct w:val="0"/>
        <w:autoSpaceDE w:val="0"/>
        <w:autoSpaceDN w:val="0"/>
        <w:adjustRightInd w:val="0"/>
        <w:snapToGrid w:val="0"/>
        <w:spacing w:line="574" w:lineRule="exact"/>
        <w:ind w:firstLine="640" w:firstLineChars="200"/>
        <w:rPr>
          <w:rFonts w:ascii="仿宋_GB2312" w:eastAsia="仿宋_GB2312"/>
          <w:sz w:val="32"/>
          <w:szCs w:val="32"/>
        </w:rPr>
      </w:pPr>
      <w:r>
        <w:rPr>
          <w:rFonts w:hint="eastAsia" w:ascii="仿宋_GB2312" w:hAnsi="宋体" w:eastAsia="仿宋_GB2312" w:cs="Courier New"/>
          <w:sz w:val="32"/>
          <w:szCs w:val="32"/>
        </w:rPr>
        <w:t>1：政协主席调研费1.8万元，主要项目结果</w:t>
      </w:r>
      <w:r>
        <w:rPr>
          <w:rFonts w:hint="eastAsia" w:ascii="仿宋_GB2312" w:eastAsia="仿宋_GB2312"/>
          <w:sz w:val="32"/>
          <w:szCs w:val="32"/>
        </w:rPr>
        <w:t>取得的成效：参政议政；参加扶贫、义诊活动深受老百姓的拥护和欢迎，多次到挂钩村社调研，解决实际存在矛盾和困难，为村民送去了急需的物资，也确实为贫困村民解决了很多的实际困难，为维稳工作起到了积极的促进作用，考核结果85分。</w:t>
      </w:r>
    </w:p>
    <w:p>
      <w:pPr>
        <w:kinsoku w:val="0"/>
        <w:overflowPunct w:val="0"/>
        <w:autoSpaceDE w:val="0"/>
        <w:autoSpaceDN w:val="0"/>
        <w:adjustRightInd w:val="0"/>
        <w:snapToGrid w:val="0"/>
        <w:spacing w:line="574" w:lineRule="exact"/>
        <w:ind w:firstLine="640" w:firstLineChars="200"/>
        <w:rPr>
          <w:rFonts w:ascii="仿宋_GB2312" w:eastAsia="仿宋_GB2312"/>
          <w:sz w:val="32"/>
          <w:szCs w:val="32"/>
        </w:rPr>
      </w:pPr>
      <w:r>
        <w:rPr>
          <w:rFonts w:hint="eastAsia" w:ascii="仿宋_GB2312" w:eastAsia="仿宋_GB2312"/>
          <w:sz w:val="32"/>
          <w:szCs w:val="32"/>
        </w:rPr>
        <w:t>2：培训费6.1万元，加强我市的民革自身建设，提高党员的政治素质和参政议政能力，为四个新乡建设作出更多贡献。</w:t>
      </w:r>
    </w:p>
    <w:p>
      <w:pPr>
        <w:ind w:left="-2" w:leftChars="-1" w:right="-867" w:rightChars="-413" w:firstLine="960" w:firstLineChars="300"/>
        <w:jc w:val="left"/>
        <w:rPr>
          <w:rFonts w:ascii="仿宋_GB2312" w:eastAsia="仿宋_GB2312"/>
          <w:sz w:val="32"/>
          <w:szCs w:val="32"/>
        </w:rPr>
      </w:pPr>
      <w:r>
        <w:rPr>
          <w:rFonts w:hint="eastAsia" w:ascii="仿宋_GB2312" w:hAnsi="宋体" w:eastAsia="仿宋_GB2312" w:cs="Courier New"/>
          <w:sz w:val="32"/>
          <w:szCs w:val="32"/>
        </w:rPr>
        <w:t>存在的问题是</w:t>
      </w:r>
      <w:r>
        <w:rPr>
          <w:rFonts w:ascii="仿宋_GB2312" w:eastAsia="仿宋_GB2312"/>
          <w:sz w:val="32"/>
          <w:szCs w:val="32"/>
        </w:rPr>
        <w:t>预算标准制定离实际</w:t>
      </w:r>
      <w:r>
        <w:rPr>
          <w:rFonts w:hint="eastAsia" w:ascii="仿宋_GB2312" w:eastAsia="仿宋_GB2312"/>
          <w:sz w:val="32"/>
          <w:szCs w:val="32"/>
        </w:rPr>
        <w:t>工作存在一定差距，在预算管理的实施过程中支出效率需进一步提高，预算支出实际进度需进一步加强。</w:t>
      </w:r>
    </w:p>
    <w:p>
      <w:pPr>
        <w:kinsoku w:val="0"/>
        <w:overflowPunct w:val="0"/>
        <w:autoSpaceDE w:val="0"/>
        <w:autoSpaceDN w:val="0"/>
        <w:adjustRightInd w:val="0"/>
        <w:snapToGrid w:val="0"/>
        <w:spacing w:line="574"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2020年拟对2019年所有项目进行绩效评价，涉及金额3.7万元，主要工作思路是参政议政和党员培训。</w:t>
      </w:r>
    </w:p>
    <w:p>
      <w:pPr>
        <w:kinsoku w:val="0"/>
        <w:overflowPunct w:val="0"/>
        <w:autoSpaceDE w:val="0"/>
        <w:autoSpaceDN w:val="0"/>
        <w:adjustRightInd w:val="0"/>
        <w:snapToGrid w:val="0"/>
        <w:spacing w:line="574" w:lineRule="exact"/>
        <w:ind w:firstLine="640" w:firstLineChars="200"/>
        <w:rPr>
          <w:rFonts w:ascii="黑体" w:hAnsi="黑体" w:eastAsia="黑体" w:cs="Courier New"/>
          <w:sz w:val="32"/>
          <w:szCs w:val="32"/>
        </w:rPr>
      </w:pPr>
      <w:r>
        <w:rPr>
          <w:rFonts w:hint="eastAsia" w:ascii="黑体" w:hAnsi="黑体" w:eastAsia="黑体" w:cs="Courier New"/>
          <w:sz w:val="32"/>
          <w:szCs w:val="32"/>
        </w:rPr>
        <w:t>十七、国有资产占用情况说明</w:t>
      </w:r>
    </w:p>
    <w:p>
      <w:pPr>
        <w:kinsoku w:val="0"/>
        <w:overflowPunct w:val="0"/>
        <w:autoSpaceDE w:val="0"/>
        <w:autoSpaceDN w:val="0"/>
        <w:adjustRightInd w:val="0"/>
        <w:snapToGrid w:val="0"/>
        <w:spacing w:line="574"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2019年期末，我单位共有车辆0辆，其中：一般公务用车0辆、一般执法执勤用车0辆、特种专业技术用车0辆，其他用车0辆，其他用车主要是无其他用车；单价50万元以上通用设备0台（套），单位价值100万元以上专用设备0台（套）。</w:t>
      </w:r>
    </w:p>
    <w:p>
      <w:pPr>
        <w:adjustRightInd w:val="0"/>
        <w:snapToGrid w:val="0"/>
        <w:spacing w:line="574" w:lineRule="exact"/>
        <w:ind w:firstLine="640" w:firstLineChars="200"/>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p>
    <w:p>
      <w:pPr>
        <w:adjustRightInd w:val="0"/>
        <w:snapToGrid w:val="0"/>
        <w:spacing w:line="574" w:lineRule="exact"/>
        <w:jc w:val="center"/>
        <w:rPr>
          <w:rFonts w:ascii="黑体" w:hAnsi="黑体" w:eastAsia="黑体"/>
          <w:sz w:val="32"/>
          <w:szCs w:val="32"/>
        </w:rPr>
      </w:pPr>
      <w:r>
        <w:rPr>
          <w:rFonts w:hint="eastAsia" w:ascii="黑体" w:hAnsi="黑体" w:eastAsia="黑体"/>
          <w:sz w:val="32"/>
          <w:szCs w:val="32"/>
        </w:rPr>
        <w:t>第三部分</w:t>
      </w:r>
    </w:p>
    <w:p>
      <w:pPr>
        <w:adjustRightInd w:val="0"/>
        <w:snapToGrid w:val="0"/>
        <w:spacing w:line="574" w:lineRule="exact"/>
        <w:jc w:val="center"/>
        <w:rPr>
          <w:rFonts w:ascii="黑体" w:hAnsi="黑体" w:eastAsia="黑体"/>
          <w:sz w:val="32"/>
          <w:szCs w:val="32"/>
        </w:rPr>
      </w:pPr>
      <w:r>
        <w:rPr>
          <w:rFonts w:hint="eastAsia" w:ascii="黑体" w:hAnsi="黑体" w:eastAsia="黑体"/>
          <w:sz w:val="32"/>
          <w:szCs w:val="32"/>
        </w:rPr>
        <w:t>名词解释</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一、财政拨款：</w:t>
      </w:r>
      <w:r>
        <w:rPr>
          <w:rFonts w:hint="eastAsia" w:ascii="仿宋_GB2312" w:hAnsi="宋体" w:eastAsia="仿宋_GB2312" w:cs="Courier New"/>
          <w:sz w:val="32"/>
          <w:szCs w:val="32"/>
        </w:rPr>
        <w:t>是指市级财政当年拨付的纳入一般公共预算和政府性基金预算管理的资金。</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二、一般债务收入：</w:t>
      </w:r>
      <w:r>
        <w:rPr>
          <w:rFonts w:hint="eastAsia" w:ascii="仿宋_GB2312" w:hAnsi="宋体" w:eastAsia="仿宋_GB2312" w:cs="Courier New"/>
          <w:sz w:val="32"/>
          <w:szCs w:val="32"/>
        </w:rPr>
        <w:t>指纳入一般公共预算管理的政府债务收入。</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三、盘活存量资金：</w:t>
      </w:r>
      <w:r>
        <w:rPr>
          <w:rFonts w:hint="eastAsia" w:ascii="仿宋_GB2312" w:hAnsi="宋体" w:eastAsia="仿宋_GB2312" w:cs="Courier New"/>
          <w:sz w:val="32"/>
          <w:szCs w:val="32"/>
        </w:rPr>
        <w:t>指按照国家有关规定重新安排使用的以前年度的存量资金。</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四、纳入财政专户管理收费：</w:t>
      </w:r>
      <w:r>
        <w:rPr>
          <w:rFonts w:hint="eastAsia" w:ascii="仿宋_GB2312" w:hAnsi="宋体" w:eastAsia="仿宋_GB2312" w:cs="Courier New"/>
          <w:sz w:val="32"/>
          <w:szCs w:val="32"/>
        </w:rPr>
        <w:t>指按照上级有关规定，教育部门收取的，暂不缴入国库，纳入财政专户管理的各项收费。</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五、单位其他收入：</w:t>
      </w:r>
      <w:r>
        <w:rPr>
          <w:rFonts w:hint="eastAsia" w:ascii="仿宋_GB2312" w:hAnsi="宋体" w:eastAsia="仿宋_GB2312" w:cs="Courier New"/>
          <w:sz w:val="32"/>
          <w:szCs w:val="32"/>
        </w:rPr>
        <w:t>指未纳入一般公共预算、政府性基金预算、财政专户管理，</w:t>
      </w:r>
      <w:r>
        <w:rPr>
          <w:rFonts w:hint="eastAsia" w:ascii="仿宋" w:hAnsi="仿宋" w:eastAsia="仿宋" w:cs="仿宋_GB2312"/>
          <w:spacing w:val="10"/>
          <w:sz w:val="32"/>
          <w:szCs w:val="32"/>
        </w:rPr>
        <w:t>不缴入国库、财政专户的单位事业收入、经营收入和其他收入。</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六、基本支出：</w:t>
      </w:r>
      <w:r>
        <w:rPr>
          <w:rFonts w:hint="eastAsia" w:ascii="仿宋_GB2312" w:hAnsi="宋体" w:eastAsia="仿宋_GB2312" w:cs="Courier New"/>
          <w:sz w:val="32"/>
          <w:szCs w:val="32"/>
        </w:rPr>
        <w:t>是指为保障机构正常运转、完成日常工作任务所必需的、不能纳入项目绩效管理的开支。</w:t>
      </w:r>
    </w:p>
    <w:p>
      <w:pPr>
        <w:spacing w:line="574" w:lineRule="exact"/>
        <w:ind w:firstLine="643" w:firstLineChars="200"/>
        <w:rPr>
          <w:rFonts w:ascii="仿宋" w:hAnsi="仿宋" w:eastAsia="仿宋"/>
          <w:sz w:val="32"/>
          <w:szCs w:val="32"/>
        </w:rPr>
      </w:pPr>
      <w:r>
        <w:rPr>
          <w:rFonts w:hint="eastAsia" w:ascii="仿宋_GB2312" w:hAnsi="宋体" w:eastAsia="仿宋_GB2312" w:cs="Courier New"/>
          <w:b/>
          <w:sz w:val="32"/>
          <w:szCs w:val="32"/>
        </w:rPr>
        <w:t>七、项目支出：</w:t>
      </w:r>
      <w:r>
        <w:rPr>
          <w:rFonts w:hint="eastAsia" w:ascii="仿宋_GB2312" w:hAnsi="宋体" w:eastAsia="仿宋_GB2312" w:cs="Courier New"/>
          <w:sz w:val="32"/>
          <w:szCs w:val="32"/>
        </w:rPr>
        <w:t>是指在基本支出之外，为完成特定的行政工作任务或事业发展目标所发生的能够纳入项目绩效管理的支出。</w:t>
      </w:r>
      <w:r>
        <w:rPr>
          <w:rFonts w:hint="eastAsia" w:ascii="仿宋" w:hAnsi="仿宋" w:eastAsia="仿宋"/>
          <w:sz w:val="32"/>
          <w:szCs w:val="32"/>
        </w:rPr>
        <w:t>根据项目管理方式不同，依次选择“专项资金、投资类项目、运转类项目和其他项目”。其中：</w:t>
      </w:r>
    </w:p>
    <w:p>
      <w:pPr>
        <w:spacing w:line="574" w:lineRule="exact"/>
        <w:ind w:firstLine="640" w:firstLineChars="200"/>
        <w:rPr>
          <w:rFonts w:ascii="仿宋" w:hAnsi="仿宋" w:eastAsia="仿宋"/>
          <w:color w:val="2D2D2D"/>
          <w:sz w:val="32"/>
          <w:szCs w:val="32"/>
        </w:rPr>
      </w:pPr>
      <w:r>
        <w:rPr>
          <w:rFonts w:hint="eastAsia" w:ascii="仿宋" w:hAnsi="仿宋" w:eastAsia="仿宋"/>
          <w:color w:val="2D2D2D"/>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spacing w:line="574" w:lineRule="exact"/>
        <w:ind w:firstLine="640" w:firstLineChars="200"/>
        <w:rPr>
          <w:rFonts w:ascii="仿宋" w:hAnsi="仿宋" w:eastAsia="仿宋"/>
          <w:color w:val="2D2D2D"/>
          <w:sz w:val="32"/>
          <w:szCs w:val="32"/>
          <w:u w:val="single"/>
        </w:rPr>
      </w:pPr>
      <w:r>
        <w:rPr>
          <w:rFonts w:hint="eastAsia" w:ascii="仿宋" w:hAnsi="仿宋" w:eastAsia="仿宋"/>
          <w:color w:val="2D2D2D"/>
          <w:sz w:val="32"/>
          <w:szCs w:val="32"/>
        </w:rPr>
        <w:t>投资类项目指单个项目投资额度在</w:t>
      </w:r>
      <w:r>
        <w:rPr>
          <w:rFonts w:hint="eastAsia" w:ascii="仿宋" w:hAnsi="仿宋" w:eastAsia="仿宋"/>
          <w:sz w:val="32"/>
          <w:szCs w:val="32"/>
        </w:rPr>
        <w:t>100万元</w:t>
      </w:r>
      <w:r>
        <w:rPr>
          <w:rFonts w:hint="eastAsia" w:ascii="仿宋" w:hAnsi="仿宋" w:eastAsia="仿宋"/>
          <w:color w:val="2D2D2D"/>
          <w:sz w:val="32"/>
          <w:szCs w:val="32"/>
        </w:rPr>
        <w:t>以上，纳入发改委项目储备库或年度投资计划的项目资金和土地储备项目资金</w:t>
      </w:r>
    </w:p>
    <w:p>
      <w:pPr>
        <w:spacing w:line="574" w:lineRule="exact"/>
        <w:ind w:firstLine="640" w:firstLineChars="200"/>
        <w:rPr>
          <w:rFonts w:ascii="仿宋" w:hAnsi="仿宋" w:eastAsia="仿宋"/>
          <w:color w:val="2D2D2D"/>
          <w:sz w:val="32"/>
          <w:szCs w:val="32"/>
        </w:rPr>
      </w:pPr>
      <w:r>
        <w:rPr>
          <w:rFonts w:hint="eastAsia" w:ascii="仿宋" w:hAnsi="仿宋" w:eastAsia="仿宋"/>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74" w:lineRule="exact"/>
        <w:ind w:firstLine="640" w:firstLineChars="200"/>
        <w:rPr>
          <w:rFonts w:ascii="仿宋" w:hAnsi="仿宋" w:eastAsia="仿宋"/>
          <w:spacing w:val="10"/>
          <w:sz w:val="32"/>
          <w:szCs w:val="32"/>
        </w:rPr>
      </w:pPr>
      <w:r>
        <w:rPr>
          <w:rFonts w:hint="eastAsia" w:ascii="仿宋" w:hAnsi="仿宋" w:eastAsia="仿宋"/>
          <w:color w:val="2D2D2D"/>
          <w:sz w:val="32"/>
          <w:szCs w:val="32"/>
        </w:rPr>
        <w:t>其他项目指除上述三类项目外的项目支出</w:t>
      </w:r>
      <w:r>
        <w:rPr>
          <w:rFonts w:hint="eastAsia" w:ascii="仿宋" w:hAnsi="仿宋" w:eastAsia="仿宋"/>
          <w:b/>
          <w:color w:val="2D2D2D"/>
          <w:sz w:val="32"/>
          <w:szCs w:val="32"/>
        </w:rPr>
        <w:t>。</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八、“三公”经费：</w:t>
      </w:r>
      <w:r>
        <w:rPr>
          <w:rFonts w:hint="eastAsia" w:ascii="仿宋_GB2312" w:hAnsi="宋体" w:eastAsia="仿宋_GB2312" w:cs="Courier New"/>
          <w:sz w:val="32"/>
          <w:szCs w:val="32"/>
        </w:rPr>
        <w:t>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九、机关运行经费：</w:t>
      </w:r>
      <w:r>
        <w:rPr>
          <w:rFonts w:hint="eastAsia" w:ascii="仿宋_GB2312" w:hAnsi="宋体" w:eastAsia="仿宋_GB2312" w:cs="Courier New"/>
          <w:sz w:val="32"/>
          <w:szCs w:val="32"/>
        </w:rPr>
        <w:t>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574" w:lineRule="exact"/>
        <w:ind w:firstLine="643" w:firstLineChars="200"/>
        <w:rPr>
          <w:rFonts w:ascii="仿宋" w:hAnsi="仿宋" w:eastAsia="仿宋"/>
          <w:sz w:val="32"/>
          <w:szCs w:val="32"/>
        </w:rPr>
      </w:pPr>
      <w:r>
        <w:rPr>
          <w:rFonts w:hint="eastAsia" w:ascii="仿宋" w:hAnsi="仿宋" w:eastAsia="仿宋"/>
          <w:b/>
          <w:sz w:val="32"/>
          <w:szCs w:val="32"/>
        </w:rPr>
        <w:t>十、部门管理项目：</w:t>
      </w:r>
      <w:r>
        <w:rPr>
          <w:rFonts w:hint="eastAsia" w:ascii="仿宋" w:hAnsi="仿宋" w:eastAsia="仿宋"/>
          <w:sz w:val="32"/>
          <w:szCs w:val="32"/>
        </w:rPr>
        <w:t>根据预算管理的特点，由主要部门实际管理，但未纳入部门支出的项目，主要包括：对县（市、区）的转移支付，部门负责管理的市本级的支出项目。</w:t>
      </w:r>
    </w:p>
    <w:p>
      <w:pPr>
        <w:adjustRightInd w:val="0"/>
        <w:snapToGrid w:val="0"/>
        <w:spacing w:line="574" w:lineRule="exact"/>
        <w:rPr>
          <w:rFonts w:ascii="黑体" w:hAnsi="黑体" w:eastAsia="黑体"/>
          <w:sz w:val="32"/>
          <w:szCs w:val="32"/>
        </w:rPr>
      </w:pPr>
    </w:p>
    <w:p>
      <w:pPr>
        <w:adjustRightInd w:val="0"/>
        <w:snapToGrid w:val="0"/>
        <w:spacing w:line="574" w:lineRule="exact"/>
        <w:rPr>
          <w:rFonts w:ascii="黑体" w:hAnsi="黑体" w:eastAsia="黑体"/>
          <w:sz w:val="32"/>
          <w:szCs w:val="32"/>
        </w:rPr>
      </w:pPr>
    </w:p>
    <w:p>
      <w:pPr>
        <w:adjustRightInd w:val="0"/>
        <w:snapToGrid w:val="0"/>
        <w:spacing w:line="574" w:lineRule="exact"/>
        <w:rPr>
          <w:rFonts w:ascii="黑体" w:hAnsi="黑体" w:eastAsia="黑体"/>
          <w:sz w:val="32"/>
          <w:szCs w:val="32"/>
        </w:rPr>
      </w:pPr>
    </w:p>
    <w:p>
      <w:pPr>
        <w:adjustRightInd w:val="0"/>
        <w:snapToGrid w:val="0"/>
        <w:spacing w:line="574" w:lineRule="exact"/>
        <w:rPr>
          <w:rFonts w:ascii="黑体" w:hAnsi="黑体" w:eastAsia="黑体"/>
          <w:sz w:val="32"/>
          <w:szCs w:val="32"/>
        </w:rPr>
      </w:pPr>
      <w:r>
        <w:rPr>
          <w:rFonts w:hint="eastAsia" w:ascii="黑体" w:hAnsi="黑体" w:eastAsia="黑体"/>
          <w:sz w:val="32"/>
          <w:szCs w:val="32"/>
        </w:rPr>
        <w:t>附件：</w:t>
      </w:r>
    </w:p>
    <w:p>
      <w:pPr>
        <w:adjustRightInd w:val="0"/>
        <w:snapToGrid w:val="0"/>
        <w:spacing w:line="574" w:lineRule="exact"/>
        <w:jc w:val="center"/>
        <w:rPr>
          <w:rStyle w:val="8"/>
          <w:rFonts w:ascii="黑体" w:hAnsi="黑体" w:eastAsia="黑体"/>
          <w:sz w:val="32"/>
          <w:szCs w:val="32"/>
        </w:rPr>
      </w:pPr>
      <w:r>
        <w:rPr>
          <w:rFonts w:ascii="黑体" w:hAnsi="黑体" w:eastAsia="黑体"/>
          <w:sz w:val="32"/>
          <w:szCs w:val="32"/>
        </w:rPr>
        <w:fldChar w:fldCharType="begin"/>
      </w:r>
      <w:r>
        <w:rPr>
          <w:rFonts w:ascii="黑体" w:hAnsi="黑体" w:eastAsia="黑体"/>
          <w:sz w:val="32"/>
          <w:szCs w:val="32"/>
        </w:rPr>
        <w:instrText xml:space="preserve">HYPERLINK "C:\\Users\\2017年预算\\预决算公开\\预算系统输出表（部门预算公开表）.xls"</w:instrText>
      </w:r>
      <w:r>
        <w:rPr>
          <w:rFonts w:ascii="黑体" w:hAnsi="黑体" w:eastAsia="黑体"/>
          <w:sz w:val="32"/>
          <w:szCs w:val="32"/>
        </w:rPr>
        <w:fldChar w:fldCharType="separate"/>
      </w:r>
      <w:r>
        <w:rPr>
          <w:rStyle w:val="8"/>
          <w:rFonts w:hint="eastAsia" w:ascii="黑体" w:hAnsi="黑体" w:eastAsia="黑体"/>
          <w:sz w:val="32"/>
          <w:szCs w:val="32"/>
        </w:rPr>
        <w:t>中国国民党革命委员会新乡市委员会</w:t>
      </w:r>
    </w:p>
    <w:p>
      <w:pPr>
        <w:adjustRightInd w:val="0"/>
        <w:snapToGrid w:val="0"/>
        <w:spacing w:line="574" w:lineRule="exact"/>
        <w:jc w:val="center"/>
        <w:rPr>
          <w:rFonts w:ascii="黑体" w:hAnsi="黑体" w:eastAsia="黑体"/>
          <w:sz w:val="32"/>
          <w:szCs w:val="32"/>
        </w:rPr>
      </w:pPr>
      <w:r>
        <w:rPr>
          <w:rStyle w:val="8"/>
          <w:rFonts w:hint="eastAsia" w:ascii="黑体" w:hAnsi="黑体" w:eastAsia="黑体"/>
          <w:sz w:val="32"/>
          <w:szCs w:val="32"/>
        </w:rPr>
        <w:t>2020年</w:t>
      </w:r>
      <w:bookmarkStart w:id="2" w:name="_Hlt475095983"/>
      <w:bookmarkStart w:id="3" w:name="_Hlt475095984"/>
      <w:r>
        <w:rPr>
          <w:rStyle w:val="8"/>
          <w:rFonts w:hint="eastAsia" w:ascii="黑体" w:hAnsi="黑体" w:eastAsia="黑体"/>
          <w:sz w:val="32"/>
          <w:szCs w:val="32"/>
        </w:rPr>
        <w:t>度</w:t>
      </w:r>
      <w:bookmarkEnd w:id="2"/>
      <w:bookmarkEnd w:id="3"/>
      <w:bookmarkStart w:id="4" w:name="_Hlt475095103"/>
      <w:bookmarkStart w:id="5" w:name="_Hlt475095089"/>
      <w:bookmarkStart w:id="6" w:name="_Hlt475095090"/>
      <w:bookmarkStart w:id="7" w:name="_Hlt475095102"/>
      <w:r>
        <w:rPr>
          <w:rStyle w:val="8"/>
          <w:rFonts w:hint="eastAsia" w:ascii="黑体" w:hAnsi="黑体" w:eastAsia="黑体"/>
          <w:sz w:val="32"/>
          <w:szCs w:val="32"/>
        </w:rPr>
        <w:t>部</w:t>
      </w:r>
      <w:bookmarkEnd w:id="4"/>
      <w:bookmarkEnd w:id="5"/>
      <w:bookmarkEnd w:id="6"/>
      <w:bookmarkEnd w:id="7"/>
      <w:r>
        <w:rPr>
          <w:rStyle w:val="8"/>
          <w:rFonts w:hint="eastAsia" w:ascii="黑体" w:hAnsi="黑体" w:eastAsia="黑体"/>
          <w:sz w:val="32"/>
          <w:szCs w:val="32"/>
        </w:rPr>
        <w:t>门预算表</w:t>
      </w:r>
      <w:r>
        <w:rPr>
          <w:rFonts w:ascii="黑体" w:hAnsi="黑体" w:eastAsia="黑体"/>
          <w:sz w:val="32"/>
          <w:szCs w:val="32"/>
        </w:rPr>
        <w:fldChar w:fldCharType="end"/>
      </w:r>
    </w:p>
    <w:p>
      <w:pPr>
        <w:adjustRightInd w:val="0"/>
        <w:snapToGrid w:val="0"/>
        <w:spacing w:line="574" w:lineRule="exact"/>
        <w:ind w:firstLine="640" w:firstLineChars="200"/>
        <w:rPr>
          <w:rFonts w:ascii="黑体" w:hAnsi="黑体" w:eastAsia="黑体"/>
          <w:sz w:val="32"/>
          <w:szCs w:val="32"/>
        </w:rPr>
      </w:pPr>
    </w:p>
    <w:p>
      <w:pPr>
        <w:adjustRightInd w:val="0"/>
        <w:snapToGrid w:val="0"/>
        <w:spacing w:line="574" w:lineRule="exact"/>
        <w:ind w:firstLine="640" w:firstLineChars="200"/>
        <w:rPr>
          <w:rFonts w:ascii="黑体" w:hAnsi="黑体" w:eastAsia="黑体"/>
          <w:sz w:val="32"/>
          <w:szCs w:val="32"/>
        </w:rPr>
      </w:pPr>
    </w:p>
    <w:p>
      <w:pPr>
        <w:adjustRightInd w:val="0"/>
        <w:snapToGrid w:val="0"/>
        <w:spacing w:line="574" w:lineRule="exact"/>
        <w:rPr>
          <w:rFonts w:ascii="黑体" w:hAnsi="黑体" w:eastAsia="黑体"/>
          <w:sz w:val="32"/>
          <w:szCs w:val="32"/>
        </w:rPr>
      </w:pP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FangSong_GB2312+FPEF">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10</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666A"/>
    <w:rsid w:val="000004A4"/>
    <w:rsid w:val="00004A41"/>
    <w:rsid w:val="000056FE"/>
    <w:rsid w:val="00007CC9"/>
    <w:rsid w:val="00016ADC"/>
    <w:rsid w:val="00017ABE"/>
    <w:rsid w:val="000328AD"/>
    <w:rsid w:val="0003777B"/>
    <w:rsid w:val="00046D83"/>
    <w:rsid w:val="00052730"/>
    <w:rsid w:val="0005442A"/>
    <w:rsid w:val="00060437"/>
    <w:rsid w:val="00065B9E"/>
    <w:rsid w:val="000667EE"/>
    <w:rsid w:val="000830E3"/>
    <w:rsid w:val="00092441"/>
    <w:rsid w:val="00093C9D"/>
    <w:rsid w:val="000A07A3"/>
    <w:rsid w:val="000A18BD"/>
    <w:rsid w:val="000B2445"/>
    <w:rsid w:val="000C4CC2"/>
    <w:rsid w:val="000D025C"/>
    <w:rsid w:val="000D146C"/>
    <w:rsid w:val="000E5387"/>
    <w:rsid w:val="000E666A"/>
    <w:rsid w:val="000E6F0D"/>
    <w:rsid w:val="000F0D3B"/>
    <w:rsid w:val="001003CC"/>
    <w:rsid w:val="001061F1"/>
    <w:rsid w:val="0010654C"/>
    <w:rsid w:val="00120162"/>
    <w:rsid w:val="0012518F"/>
    <w:rsid w:val="001264BC"/>
    <w:rsid w:val="0013131B"/>
    <w:rsid w:val="001316FD"/>
    <w:rsid w:val="001436AF"/>
    <w:rsid w:val="00145E1A"/>
    <w:rsid w:val="00147BEE"/>
    <w:rsid w:val="0015797A"/>
    <w:rsid w:val="0016268A"/>
    <w:rsid w:val="00166082"/>
    <w:rsid w:val="00171065"/>
    <w:rsid w:val="00176038"/>
    <w:rsid w:val="00177B9B"/>
    <w:rsid w:val="00187432"/>
    <w:rsid w:val="00193C81"/>
    <w:rsid w:val="00196982"/>
    <w:rsid w:val="001A45D6"/>
    <w:rsid w:val="001A5C07"/>
    <w:rsid w:val="001C7E81"/>
    <w:rsid w:val="001E7294"/>
    <w:rsid w:val="001F24BC"/>
    <w:rsid w:val="001F2714"/>
    <w:rsid w:val="001F64E1"/>
    <w:rsid w:val="001F657E"/>
    <w:rsid w:val="00202770"/>
    <w:rsid w:val="00203798"/>
    <w:rsid w:val="00204E18"/>
    <w:rsid w:val="0021471A"/>
    <w:rsid w:val="002155E6"/>
    <w:rsid w:val="002213D7"/>
    <w:rsid w:val="00230456"/>
    <w:rsid w:val="0023484A"/>
    <w:rsid w:val="00236C70"/>
    <w:rsid w:val="0024107C"/>
    <w:rsid w:val="00242997"/>
    <w:rsid w:val="002446C3"/>
    <w:rsid w:val="00251DE8"/>
    <w:rsid w:val="00254A2A"/>
    <w:rsid w:val="002601F3"/>
    <w:rsid w:val="00267739"/>
    <w:rsid w:val="00270CB1"/>
    <w:rsid w:val="0028623C"/>
    <w:rsid w:val="002A58F0"/>
    <w:rsid w:val="002B612E"/>
    <w:rsid w:val="002B7F7A"/>
    <w:rsid w:val="002C14D9"/>
    <w:rsid w:val="002C1804"/>
    <w:rsid w:val="002E0122"/>
    <w:rsid w:val="002E02DA"/>
    <w:rsid w:val="002E27DE"/>
    <w:rsid w:val="002E3628"/>
    <w:rsid w:val="002E5973"/>
    <w:rsid w:val="002E5C55"/>
    <w:rsid w:val="002E5EBE"/>
    <w:rsid w:val="002F12E9"/>
    <w:rsid w:val="002F1A34"/>
    <w:rsid w:val="002F6CC2"/>
    <w:rsid w:val="002F77D5"/>
    <w:rsid w:val="0032045B"/>
    <w:rsid w:val="00320FEA"/>
    <w:rsid w:val="00322C06"/>
    <w:rsid w:val="00327ADF"/>
    <w:rsid w:val="0034481A"/>
    <w:rsid w:val="00352AD6"/>
    <w:rsid w:val="00356056"/>
    <w:rsid w:val="00360B9D"/>
    <w:rsid w:val="003615E5"/>
    <w:rsid w:val="00374335"/>
    <w:rsid w:val="003761B9"/>
    <w:rsid w:val="003B6DF2"/>
    <w:rsid w:val="003B7AAE"/>
    <w:rsid w:val="003C472B"/>
    <w:rsid w:val="003C5AF1"/>
    <w:rsid w:val="003D0803"/>
    <w:rsid w:val="003E0F53"/>
    <w:rsid w:val="003E2D13"/>
    <w:rsid w:val="003E4F75"/>
    <w:rsid w:val="003F044F"/>
    <w:rsid w:val="00400480"/>
    <w:rsid w:val="00400EC6"/>
    <w:rsid w:val="00403455"/>
    <w:rsid w:val="004078CB"/>
    <w:rsid w:val="004119E0"/>
    <w:rsid w:val="00414D58"/>
    <w:rsid w:val="00423E21"/>
    <w:rsid w:val="00424AD0"/>
    <w:rsid w:val="00424DB3"/>
    <w:rsid w:val="00425DE7"/>
    <w:rsid w:val="0042656D"/>
    <w:rsid w:val="0042665A"/>
    <w:rsid w:val="004520CE"/>
    <w:rsid w:val="0045307E"/>
    <w:rsid w:val="004566F7"/>
    <w:rsid w:val="00460D67"/>
    <w:rsid w:val="0046494C"/>
    <w:rsid w:val="00470B16"/>
    <w:rsid w:val="004738EF"/>
    <w:rsid w:val="00475A65"/>
    <w:rsid w:val="00477172"/>
    <w:rsid w:val="004842B6"/>
    <w:rsid w:val="004842D5"/>
    <w:rsid w:val="004A227D"/>
    <w:rsid w:val="004A2735"/>
    <w:rsid w:val="004A5FAD"/>
    <w:rsid w:val="004B1080"/>
    <w:rsid w:val="004C0B6C"/>
    <w:rsid w:val="004C3AD6"/>
    <w:rsid w:val="004C7BA0"/>
    <w:rsid w:val="004D069E"/>
    <w:rsid w:val="004D0CCC"/>
    <w:rsid w:val="004F1ED2"/>
    <w:rsid w:val="004F460E"/>
    <w:rsid w:val="00504D4A"/>
    <w:rsid w:val="00513909"/>
    <w:rsid w:val="005271CC"/>
    <w:rsid w:val="005301EC"/>
    <w:rsid w:val="00530C66"/>
    <w:rsid w:val="00530F2D"/>
    <w:rsid w:val="00536D68"/>
    <w:rsid w:val="00540B6A"/>
    <w:rsid w:val="00542462"/>
    <w:rsid w:val="005433FC"/>
    <w:rsid w:val="005541F1"/>
    <w:rsid w:val="00554BEE"/>
    <w:rsid w:val="0055679B"/>
    <w:rsid w:val="00556BE7"/>
    <w:rsid w:val="00571108"/>
    <w:rsid w:val="00577F84"/>
    <w:rsid w:val="00583C97"/>
    <w:rsid w:val="0058651A"/>
    <w:rsid w:val="00591111"/>
    <w:rsid w:val="00591CA6"/>
    <w:rsid w:val="00594F1A"/>
    <w:rsid w:val="005A7520"/>
    <w:rsid w:val="005B09E4"/>
    <w:rsid w:val="005B4803"/>
    <w:rsid w:val="005B7D64"/>
    <w:rsid w:val="005D00F0"/>
    <w:rsid w:val="005D445F"/>
    <w:rsid w:val="005E12A2"/>
    <w:rsid w:val="005E3AE1"/>
    <w:rsid w:val="005E6CB4"/>
    <w:rsid w:val="005F0E25"/>
    <w:rsid w:val="005F222D"/>
    <w:rsid w:val="005F36D1"/>
    <w:rsid w:val="00600AAF"/>
    <w:rsid w:val="006059F4"/>
    <w:rsid w:val="00641E96"/>
    <w:rsid w:val="006450F6"/>
    <w:rsid w:val="006519C1"/>
    <w:rsid w:val="006533BE"/>
    <w:rsid w:val="00655CED"/>
    <w:rsid w:val="00655F9F"/>
    <w:rsid w:val="00660094"/>
    <w:rsid w:val="00662353"/>
    <w:rsid w:val="0066274D"/>
    <w:rsid w:val="006877F1"/>
    <w:rsid w:val="00691130"/>
    <w:rsid w:val="006933B5"/>
    <w:rsid w:val="006A1C28"/>
    <w:rsid w:val="006A2177"/>
    <w:rsid w:val="006A2B0C"/>
    <w:rsid w:val="006B104A"/>
    <w:rsid w:val="006B23FE"/>
    <w:rsid w:val="006C4B05"/>
    <w:rsid w:val="006C6A3D"/>
    <w:rsid w:val="006C6E8C"/>
    <w:rsid w:val="006D163E"/>
    <w:rsid w:val="006D1B8A"/>
    <w:rsid w:val="006D36CC"/>
    <w:rsid w:val="006E1282"/>
    <w:rsid w:val="006E311C"/>
    <w:rsid w:val="006E3820"/>
    <w:rsid w:val="006F7ED2"/>
    <w:rsid w:val="00700C7A"/>
    <w:rsid w:val="00705E29"/>
    <w:rsid w:val="007131C3"/>
    <w:rsid w:val="007132D8"/>
    <w:rsid w:val="007267F5"/>
    <w:rsid w:val="00742C70"/>
    <w:rsid w:val="00743217"/>
    <w:rsid w:val="00754A11"/>
    <w:rsid w:val="0076639E"/>
    <w:rsid w:val="007836D5"/>
    <w:rsid w:val="00784A52"/>
    <w:rsid w:val="007854FD"/>
    <w:rsid w:val="007855DC"/>
    <w:rsid w:val="007A316B"/>
    <w:rsid w:val="007B6C7F"/>
    <w:rsid w:val="007B748B"/>
    <w:rsid w:val="007C2F94"/>
    <w:rsid w:val="007C41F5"/>
    <w:rsid w:val="007C5790"/>
    <w:rsid w:val="007D41D6"/>
    <w:rsid w:val="007E3F22"/>
    <w:rsid w:val="007E7438"/>
    <w:rsid w:val="008035D5"/>
    <w:rsid w:val="00803E72"/>
    <w:rsid w:val="00806E5A"/>
    <w:rsid w:val="00811491"/>
    <w:rsid w:val="008121B1"/>
    <w:rsid w:val="00813D8B"/>
    <w:rsid w:val="00813ECE"/>
    <w:rsid w:val="00815377"/>
    <w:rsid w:val="00816DFE"/>
    <w:rsid w:val="00833376"/>
    <w:rsid w:val="008336B4"/>
    <w:rsid w:val="00836BB8"/>
    <w:rsid w:val="00850003"/>
    <w:rsid w:val="00850526"/>
    <w:rsid w:val="00862ACE"/>
    <w:rsid w:val="00865C99"/>
    <w:rsid w:val="008662DA"/>
    <w:rsid w:val="00871827"/>
    <w:rsid w:val="00872A52"/>
    <w:rsid w:val="00876F50"/>
    <w:rsid w:val="00880C02"/>
    <w:rsid w:val="008831B0"/>
    <w:rsid w:val="008852A0"/>
    <w:rsid w:val="008854C3"/>
    <w:rsid w:val="00887FD5"/>
    <w:rsid w:val="008A07E9"/>
    <w:rsid w:val="008A6827"/>
    <w:rsid w:val="008A6E23"/>
    <w:rsid w:val="008B22A2"/>
    <w:rsid w:val="008B29FF"/>
    <w:rsid w:val="008D73FF"/>
    <w:rsid w:val="008F0E48"/>
    <w:rsid w:val="008F3542"/>
    <w:rsid w:val="0090127A"/>
    <w:rsid w:val="00903B03"/>
    <w:rsid w:val="009053A0"/>
    <w:rsid w:val="00907F29"/>
    <w:rsid w:val="00910A7A"/>
    <w:rsid w:val="00930530"/>
    <w:rsid w:val="00932EE9"/>
    <w:rsid w:val="00940B89"/>
    <w:rsid w:val="00947589"/>
    <w:rsid w:val="00963125"/>
    <w:rsid w:val="00964DF6"/>
    <w:rsid w:val="00965DD7"/>
    <w:rsid w:val="00972A21"/>
    <w:rsid w:val="00984BB7"/>
    <w:rsid w:val="0099008B"/>
    <w:rsid w:val="00997ABD"/>
    <w:rsid w:val="009A17D4"/>
    <w:rsid w:val="009A311C"/>
    <w:rsid w:val="009B779E"/>
    <w:rsid w:val="009C3AAD"/>
    <w:rsid w:val="009C5886"/>
    <w:rsid w:val="009C79D8"/>
    <w:rsid w:val="009D06CC"/>
    <w:rsid w:val="009D6176"/>
    <w:rsid w:val="009F0C6B"/>
    <w:rsid w:val="009F3820"/>
    <w:rsid w:val="009F5003"/>
    <w:rsid w:val="00A05D74"/>
    <w:rsid w:val="00A1196B"/>
    <w:rsid w:val="00A23BB0"/>
    <w:rsid w:val="00A354EC"/>
    <w:rsid w:val="00A75823"/>
    <w:rsid w:val="00AA4E11"/>
    <w:rsid w:val="00AB03ED"/>
    <w:rsid w:val="00AB18CB"/>
    <w:rsid w:val="00AB2328"/>
    <w:rsid w:val="00AC5410"/>
    <w:rsid w:val="00AE3283"/>
    <w:rsid w:val="00B007E3"/>
    <w:rsid w:val="00B01857"/>
    <w:rsid w:val="00B1453C"/>
    <w:rsid w:val="00B3662B"/>
    <w:rsid w:val="00B377C4"/>
    <w:rsid w:val="00B40F74"/>
    <w:rsid w:val="00B43E66"/>
    <w:rsid w:val="00B47762"/>
    <w:rsid w:val="00B50AE6"/>
    <w:rsid w:val="00B57409"/>
    <w:rsid w:val="00B65C21"/>
    <w:rsid w:val="00B665C0"/>
    <w:rsid w:val="00B6705E"/>
    <w:rsid w:val="00B81B62"/>
    <w:rsid w:val="00B83D04"/>
    <w:rsid w:val="00B85419"/>
    <w:rsid w:val="00B87032"/>
    <w:rsid w:val="00B92341"/>
    <w:rsid w:val="00B932C7"/>
    <w:rsid w:val="00B95788"/>
    <w:rsid w:val="00BA056E"/>
    <w:rsid w:val="00BA38DA"/>
    <w:rsid w:val="00BA5E9A"/>
    <w:rsid w:val="00BB59DB"/>
    <w:rsid w:val="00BB5B69"/>
    <w:rsid w:val="00BC2A56"/>
    <w:rsid w:val="00BC4131"/>
    <w:rsid w:val="00BE4D35"/>
    <w:rsid w:val="00BF0F52"/>
    <w:rsid w:val="00C0162B"/>
    <w:rsid w:val="00C03348"/>
    <w:rsid w:val="00C139D8"/>
    <w:rsid w:val="00C17E7A"/>
    <w:rsid w:val="00C21E04"/>
    <w:rsid w:val="00C23F9E"/>
    <w:rsid w:val="00C256B1"/>
    <w:rsid w:val="00C4757E"/>
    <w:rsid w:val="00C562AA"/>
    <w:rsid w:val="00C63E2B"/>
    <w:rsid w:val="00C65DCF"/>
    <w:rsid w:val="00C65E72"/>
    <w:rsid w:val="00C66F39"/>
    <w:rsid w:val="00C70F12"/>
    <w:rsid w:val="00C738E2"/>
    <w:rsid w:val="00C934AF"/>
    <w:rsid w:val="00CA134C"/>
    <w:rsid w:val="00CA314A"/>
    <w:rsid w:val="00CB1547"/>
    <w:rsid w:val="00CB4134"/>
    <w:rsid w:val="00CB508D"/>
    <w:rsid w:val="00CC27C8"/>
    <w:rsid w:val="00CC41F0"/>
    <w:rsid w:val="00CC5356"/>
    <w:rsid w:val="00CC793C"/>
    <w:rsid w:val="00CD7B98"/>
    <w:rsid w:val="00CE09C7"/>
    <w:rsid w:val="00CE2380"/>
    <w:rsid w:val="00CE74F0"/>
    <w:rsid w:val="00CF458F"/>
    <w:rsid w:val="00D04BF4"/>
    <w:rsid w:val="00D13DA7"/>
    <w:rsid w:val="00D2537C"/>
    <w:rsid w:val="00D26956"/>
    <w:rsid w:val="00D27601"/>
    <w:rsid w:val="00D527ED"/>
    <w:rsid w:val="00D561EE"/>
    <w:rsid w:val="00D7195F"/>
    <w:rsid w:val="00D8525D"/>
    <w:rsid w:val="00D90BF1"/>
    <w:rsid w:val="00D92623"/>
    <w:rsid w:val="00DA5176"/>
    <w:rsid w:val="00DD4A13"/>
    <w:rsid w:val="00DD6466"/>
    <w:rsid w:val="00DE0896"/>
    <w:rsid w:val="00DE6A63"/>
    <w:rsid w:val="00DF0203"/>
    <w:rsid w:val="00DF19C8"/>
    <w:rsid w:val="00E03857"/>
    <w:rsid w:val="00E04054"/>
    <w:rsid w:val="00E1289B"/>
    <w:rsid w:val="00E224B9"/>
    <w:rsid w:val="00E4080C"/>
    <w:rsid w:val="00E41910"/>
    <w:rsid w:val="00E43ED0"/>
    <w:rsid w:val="00E461E2"/>
    <w:rsid w:val="00E549CB"/>
    <w:rsid w:val="00E76EAF"/>
    <w:rsid w:val="00E86FED"/>
    <w:rsid w:val="00E87B05"/>
    <w:rsid w:val="00E941A6"/>
    <w:rsid w:val="00EB05F1"/>
    <w:rsid w:val="00EB5C2F"/>
    <w:rsid w:val="00EB6F57"/>
    <w:rsid w:val="00EC1FC1"/>
    <w:rsid w:val="00ED18F0"/>
    <w:rsid w:val="00ED1FE9"/>
    <w:rsid w:val="00ED7886"/>
    <w:rsid w:val="00EE05C3"/>
    <w:rsid w:val="00EE1964"/>
    <w:rsid w:val="00EE59D1"/>
    <w:rsid w:val="00EE6F02"/>
    <w:rsid w:val="00EF0F02"/>
    <w:rsid w:val="00F01287"/>
    <w:rsid w:val="00F1283B"/>
    <w:rsid w:val="00F25745"/>
    <w:rsid w:val="00F33362"/>
    <w:rsid w:val="00F34E65"/>
    <w:rsid w:val="00F430E3"/>
    <w:rsid w:val="00F431C7"/>
    <w:rsid w:val="00F44EC4"/>
    <w:rsid w:val="00F506ED"/>
    <w:rsid w:val="00F63CE3"/>
    <w:rsid w:val="00F6765B"/>
    <w:rsid w:val="00F704F4"/>
    <w:rsid w:val="00F72FBD"/>
    <w:rsid w:val="00F903AD"/>
    <w:rsid w:val="00F93BB7"/>
    <w:rsid w:val="00F955DA"/>
    <w:rsid w:val="00FB1000"/>
    <w:rsid w:val="00FB4F52"/>
    <w:rsid w:val="00FB698F"/>
    <w:rsid w:val="00FC238F"/>
    <w:rsid w:val="00FC2CBB"/>
    <w:rsid w:val="00FD05B8"/>
    <w:rsid w:val="00FD33D1"/>
    <w:rsid w:val="00FD47AF"/>
    <w:rsid w:val="00FD493D"/>
    <w:rsid w:val="00FE0BED"/>
    <w:rsid w:val="00FE0EB5"/>
    <w:rsid w:val="00FE3A2E"/>
    <w:rsid w:val="00FE5B62"/>
    <w:rsid w:val="00FE6833"/>
    <w:rsid w:val="00FE7E98"/>
    <w:rsid w:val="00FF37A9"/>
    <w:rsid w:val="00FF613C"/>
    <w:rsid w:val="05202647"/>
    <w:rsid w:val="0F537F33"/>
    <w:rsid w:val="144E2CD4"/>
    <w:rsid w:val="1D4870B1"/>
    <w:rsid w:val="3FE975D7"/>
    <w:rsid w:val="451140DC"/>
    <w:rsid w:val="6CFE2890"/>
    <w:rsid w:val="730F3460"/>
    <w:rsid w:val="73E30ECF"/>
    <w:rsid w:val="7A811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 w:type="character" w:customStyle="1" w:styleId="9">
    <w:name w:val="访问过的超链接"/>
    <w:qFormat/>
    <w:uiPriority w:val="0"/>
    <w:rPr>
      <w:color w:val="800080"/>
      <w:u w:val="single"/>
    </w:rPr>
  </w:style>
  <w:style w:type="character" w:customStyle="1" w:styleId="10">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643</Words>
  <Characters>3667</Characters>
  <Lines>30</Lines>
  <Paragraphs>8</Paragraphs>
  <TotalTime>0</TotalTime>
  <ScaleCrop>false</ScaleCrop>
  <LinksUpToDate>false</LinksUpToDate>
  <CharactersWithSpaces>4302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2020-04-27T11:28:00Z</dcterms:created>
  <dc:creator>谢斐</dc:creator>
  <cp:lastModifiedBy>林仙丹</cp:lastModifiedBy>
  <cp:lastPrinted>2020-04-27T10:47:00Z</cp:lastPrinted>
  <dcterms:modified xsi:type="dcterms:W3CDTF">2021-07-08T03:41:53Z</dcterms:modified>
  <dc:title>2017年度省级部门预算公开参考格式</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1C0E31856F7240CEB7158F711F7968DF</vt:lpwstr>
  </property>
</Properties>
</file>