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center"/>
        <w:rPr>
          <w:rFonts w:hint="eastAsia" w:ascii="黑体" w:hAnsi="黑体" w:eastAsia="黑体" w:cs="黑体"/>
          <w:sz w:val="52"/>
          <w:szCs w:val="52"/>
        </w:rPr>
      </w:pPr>
    </w:p>
    <w:p>
      <w:pPr>
        <w:widowControl/>
        <w:jc w:val="center"/>
        <w:rPr>
          <w:rFonts w:hint="eastAsia" w:ascii="黑体" w:hAnsi="黑体" w:eastAsia="黑体" w:cs="黑体"/>
          <w:sz w:val="52"/>
          <w:szCs w:val="52"/>
        </w:rPr>
      </w:pPr>
    </w:p>
    <w:p>
      <w:pPr>
        <w:widowControl/>
        <w:jc w:val="center"/>
        <w:rPr>
          <w:rFonts w:hint="eastAsia" w:ascii="黑体" w:hAnsi="黑体" w:eastAsia="黑体" w:cs="黑体"/>
          <w:sz w:val="52"/>
          <w:szCs w:val="52"/>
        </w:rPr>
      </w:pPr>
      <w:r>
        <w:rPr>
          <w:rFonts w:hint="eastAsia" w:ascii="黑体" w:hAnsi="黑体" w:eastAsia="黑体" w:cs="黑体"/>
          <w:sz w:val="52"/>
          <w:szCs w:val="52"/>
        </w:rPr>
        <w:t>201</w:t>
      </w:r>
      <w:r>
        <w:rPr>
          <w:rFonts w:hint="eastAsia" w:ascii="黑体" w:hAnsi="黑体" w:eastAsia="黑体" w:cs="黑体"/>
          <w:sz w:val="52"/>
          <w:szCs w:val="52"/>
          <w:lang w:val="en-US" w:eastAsia="zh-CN"/>
        </w:rPr>
        <w:t>8</w:t>
      </w:r>
      <w:r>
        <w:rPr>
          <w:rFonts w:hint="eastAsia" w:ascii="黑体" w:hAnsi="黑体" w:eastAsia="黑体" w:cs="黑体"/>
          <w:sz w:val="52"/>
          <w:szCs w:val="52"/>
        </w:rPr>
        <w:t>年度</w:t>
      </w: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新乡市科学技术局</w:t>
      </w:r>
      <w:r>
        <w:rPr>
          <w:rFonts w:hint="eastAsia" w:ascii="黑体" w:hAnsi="黑体" w:eastAsia="黑体" w:cs="黑体"/>
          <w:sz w:val="52"/>
          <w:szCs w:val="52"/>
        </w:rPr>
        <w:t>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start="0"/>
          <w:cols w:space="720" w:num="1"/>
          <w:docGrid w:type="lines" w:linePitch="317" w:charSpace="0"/>
        </w:sectPr>
      </w:pPr>
      <w:r>
        <w:rPr>
          <w:rFonts w:hint="eastAsia" w:ascii="黑体" w:hAnsi="黑体" w:eastAsia="黑体" w:cs="黑体"/>
          <w:sz w:val="32"/>
          <w:szCs w:val="32"/>
        </w:rPr>
        <w:t>二〇一</w:t>
      </w:r>
      <w:r>
        <w:rPr>
          <w:rFonts w:hint="eastAsia" w:ascii="黑体" w:hAnsi="黑体" w:eastAsia="黑体" w:cs="黑体"/>
          <w:sz w:val="32"/>
          <w:szCs w:val="32"/>
          <w:lang w:eastAsia="zh-CN"/>
        </w:rPr>
        <w:t>九</w:t>
      </w:r>
      <w:r>
        <w:rPr>
          <w:rFonts w:hint="eastAsia" w:ascii="黑体" w:hAnsi="黑体" w:eastAsia="黑体" w:cs="黑体"/>
          <w:sz w:val="32"/>
          <w:szCs w:val="32"/>
        </w:rPr>
        <w:t>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新乡市科学技术局</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rPr>
          <w:rFonts w:hint="eastAsia" w:ascii="黑体" w:hAnsi="宋体" w:eastAsia="黑体" w:cs="宋体"/>
          <w:kern w:val="0"/>
          <w:sz w:val="28"/>
          <w:szCs w:val="28"/>
        </w:rPr>
      </w:pPr>
      <w:r>
        <w:rPr>
          <w:rFonts w:hint="eastAsia" w:ascii="黑体" w:hAnsi="黑体" w:eastAsia="黑体" w:cs="黑体"/>
          <w:sz w:val="48"/>
          <w:szCs w:val="48"/>
        </w:rPr>
        <w:t>第一部分　</w:t>
      </w:r>
      <w:r>
        <w:rPr>
          <w:rFonts w:hint="eastAsia" w:ascii="黑体" w:hAnsi="黑体" w:eastAsia="黑体" w:cs="黑体"/>
          <w:sz w:val="48"/>
          <w:szCs w:val="48"/>
          <w:lang w:eastAsia="zh-CN"/>
        </w:rPr>
        <w:t>新乡市科学技术局</w:t>
      </w:r>
      <w:r>
        <w:rPr>
          <w:rFonts w:hint="eastAsia" w:ascii="黑体" w:hAnsi="黑体" w:eastAsia="黑体" w:cs="黑体"/>
          <w:sz w:val="48"/>
          <w:szCs w:val="48"/>
        </w:rPr>
        <w:t>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一、部门职责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(一)贯彻执行国家、省科技工作的法律、法规和方针、政策;提出全市科技发展战略的建议;牵头拟订激励自主创新的政策措施并组织实施和监督。                  </w:t>
      </w:r>
    </w:p>
    <w:p>
      <w:pPr>
        <w:widowControl/>
        <w:ind w:firstLine="640" w:firstLineChars="200"/>
        <w:jc w:val="left"/>
        <w:rPr>
          <w:rFonts w:hint="eastAsia" w:ascii="仿宋" w:hAnsi="仿宋" w:eastAsia="仿宋" w:cs="仿宋"/>
          <w:sz w:val="32"/>
          <w:szCs w:val="32"/>
        </w:rPr>
      </w:pPr>
      <w:r>
        <w:rPr>
          <w:rFonts w:hint="eastAsia" w:ascii="仿宋_GB2312" w:hAnsi="仿宋_GB2312" w:eastAsia="仿宋_GB2312" w:cs="仿宋_GB2312"/>
          <w:color w:val="auto"/>
          <w:kern w:val="0"/>
          <w:sz w:val="32"/>
          <w:szCs w:val="32"/>
          <w:highlight w:val="none"/>
          <w:lang w:val="en-US" w:eastAsia="zh-CN"/>
        </w:rPr>
        <w:t>(二)牵头拟订全市科学和技术发展规划、年度计划;确定全市科技发展的布局和优先发展领域;负责《新乡市中长期科学和技术发展规划纲要》的实施;会同有关部门推进全市创新驱动发展战略实施。</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(三)提出全市科技体制改革的政策和重大措施建议,推进全市科技创新体系建设和科技体制改革工作;审核科研机构的组建和调整,优化科研机构布局。</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四)组织制定多渠道增加科技投入的政策措施;会同有关部门统筹管理科技投入,并提出科技资源合理配置的重大政策和措施建议,优化科技资源配置;拟订科技金融结合的政策措施,会同有关部门指导科技投融资工作;负责归口统一管理科技经费的预决算。</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五)制定推动全市应用基础研究、前沿技术研究、社会公益技术研究及产业发展关键和共性技术研究等方面的政策措施;组织全市经济社会发展重要领域的重大关键技术攻关;负责全市科技计划的制定与组织实施;负责全市科技计划指南的制定并组织实施。</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(六)负责全市高新技术发展及产业化工作。会同有关部门拟订高新技术产业化政策,推进市高新技术发展及产业化工作;指导市级高新技术产业开发区建设;牵头拟订高新技术出口的相关政策措施。</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七)会同有关部门拟订促进产学研结合的政策措施;制定科技成果转化和产业化政策,指导科技成果转化工作,组织相关重大科技成果应用示范;组织实施市级重大科技专项和科技型中小企业技术创新以及科技成果转化等计划项目。</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八)负责全市科技基础能力建设。提出全市科研条件保障规划和政策建议;负责全市科技基础条件平台、科技服务平台和企业技术创新科技支撑平台建设工作;会同有关部门加强科技基本建设;负责科技创新基地的规划布局、指导和监督;拟订全市科技服务业政策措施,推动科技服务业发展。</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九)负责全市科技奖励工作;会同有关部门拟订科技人才队伍建设规划,提出相关政策建议;负责全市创新型科技人才、科技领军人才队伍和创新型科技团队建设;研究提出充分发挥科技人员积极性、创造科技人才成长良好环境的相关政策、措施。</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(十)拟订全市对外科技合作与交流的政策、计划;负责全市对外及涉港澳台地区科技合作与交流事宜;组织实施国际科技合作计划;受市政府委托,负责全市国际科技合作与交流、培训等日常管理工作。</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(十一)拟订全市科学技术普及工作规划,指导全市科普工作;负责科技中介服务体系建设的总体规划、监督指导;统筹规划、指导全市民营科技企业和科技类民办非企业单位发展。</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(十二)拟订全市科技促进农村和社会发展的政策措施,研究解决农村和社会发展中的重大科技问题。</w:t>
      </w:r>
      <w:r>
        <w:rPr>
          <w:rFonts w:hint="eastAsia" w:ascii="仿宋_GB2312" w:hAnsi="仿宋_GB2312" w:eastAsia="仿宋_GB2312" w:cs="仿宋_GB2312"/>
          <w:color w:val="auto"/>
          <w:kern w:val="0"/>
          <w:sz w:val="32"/>
          <w:szCs w:val="32"/>
          <w:highlight w:val="none"/>
          <w:lang w:val="en-US" w:eastAsia="zh-CN"/>
        </w:rPr>
        <w:br w:type="textWrapping"/>
      </w:r>
      <w:r>
        <w:rPr>
          <w:rFonts w:hint="eastAsia" w:ascii="仿宋_GB2312" w:hAnsi="仿宋_GB2312" w:eastAsia="仿宋_GB2312" w:cs="仿宋_GB2312"/>
          <w:color w:val="auto"/>
          <w:kern w:val="0"/>
          <w:sz w:val="32"/>
          <w:szCs w:val="32"/>
          <w:highlight w:val="none"/>
          <w:lang w:val="en-US" w:eastAsia="zh-CN"/>
        </w:rPr>
        <w:t xml:space="preserve">　　(十三)承办市政府交办的其他事项。 </w:t>
      </w:r>
      <w:r>
        <w:rPr>
          <w:rFonts w:hint="eastAsia" w:ascii="仿宋" w:hAnsi="仿宋" w:eastAsia="仿宋" w:cs="仿宋"/>
          <w:sz w:val="32"/>
          <w:szCs w:val="32"/>
        </w:rPr>
        <w:t xml:space="preserve">  </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新乡市科学技术局内设机构8个，包括：办公室、人事教育科、政策法规科（招商引资科）、发展计划科、高新技术发展及产业化科、农村科技科（河南新乡国家农业科技园区管理办公室）、科技成果科、社会发展科技科。另设有机关党委和离退休干部工作科。</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从决算单位构成看，新乡市科学技术局部门决算包括：本级决算、所属单位决算。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纳入本部门2018年度部门决算编制范围的单位共6个，其中二级预算单位5个，具体是：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1．新乡市科学技术局局机关本级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2．新乡市技术市场管理办公室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3．新乡市科学技术情报研究所</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4．新乡市对外科技交流中心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5．新乡市科技服务中心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6．新乡市知识产权局</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2018年度</w:t>
      </w:r>
      <w:r>
        <w:rPr>
          <w:rFonts w:hint="eastAsia" w:ascii="黑体" w:hAnsi="黑体" w:eastAsia="黑体" w:cs="黑体"/>
          <w:color w:val="auto"/>
          <w:sz w:val="48"/>
          <w:szCs w:val="48"/>
          <w:highlight w:val="none"/>
        </w:rPr>
        <w:t>部门决算表</w:t>
      </w:r>
    </w:p>
    <w:p>
      <w:pPr>
        <w:jc w:val="center"/>
        <w:rPr>
          <w:rFonts w:hint="eastAsia" w:ascii="黑体" w:hAnsi="黑体" w:eastAsia="黑体" w:cs="黑体"/>
          <w:color w:val="auto"/>
          <w:sz w:val="48"/>
          <w:szCs w:val="48"/>
          <w:highlight w:val="none"/>
        </w:rPr>
      </w:pPr>
    </w:p>
    <w:p>
      <w:pPr>
        <w:jc w:val="center"/>
        <w:rPr>
          <w:rFonts w:hint="eastAsia" w:ascii="黑体" w:hAnsi="黑体" w:eastAsia="黑体" w:cs="黑体"/>
          <w:sz w:val="48"/>
          <w:szCs w:val="4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tbl>
      <w:tblPr>
        <w:tblStyle w:val="6"/>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508" w:hRule="atLeast"/>
        </w:trPr>
        <w:tc>
          <w:tcPr>
            <w:tcW w:w="13988"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335"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35"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16"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71"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2986.81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174.45</w:t>
            </w:r>
          </w:p>
        </w:tc>
      </w:tr>
      <w:tr>
        <w:tblPrEx>
          <w:tblCellMar>
            <w:top w:w="0" w:type="dxa"/>
            <w:left w:w="0" w:type="dxa"/>
            <w:bottom w:w="0" w:type="dxa"/>
            <w:right w:w="0" w:type="dxa"/>
          </w:tblCellMar>
        </w:tblPrEx>
        <w:trPr>
          <w:trHeight w:val="3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3"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1"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3"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3"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30.42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1884.63</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6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585"/>
              </w:tabs>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ab/>
            </w:r>
            <w:r>
              <w:rPr>
                <w:rFonts w:hint="eastAsia" w:ascii="宋体" w:hAnsi="宋体" w:cs="宋体"/>
                <w:i w:val="0"/>
                <w:color w:val="000000"/>
                <w:sz w:val="20"/>
                <w:szCs w:val="20"/>
                <w:u w:val="none"/>
                <w:lang w:val="en-US" w:eastAsia="zh-CN"/>
              </w:rPr>
              <w:t>3017.23</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2674.74</w:t>
            </w:r>
          </w:p>
        </w:tc>
      </w:tr>
      <w:tr>
        <w:tblPrEx>
          <w:tblCellMar>
            <w:top w:w="0" w:type="dxa"/>
            <w:left w:w="0" w:type="dxa"/>
            <w:bottom w:w="0" w:type="dxa"/>
            <w:right w:w="0" w:type="dxa"/>
          </w:tblCellMar>
        </w:tblPrEx>
        <w:trPr>
          <w:trHeight w:val="451"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1"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68.20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410.69</w:t>
            </w:r>
          </w:p>
        </w:tc>
      </w:tr>
      <w:tr>
        <w:tblPrEx>
          <w:tblCellMar>
            <w:top w:w="0" w:type="dxa"/>
            <w:left w:w="0" w:type="dxa"/>
            <w:bottom w:w="0" w:type="dxa"/>
            <w:right w:w="0" w:type="dxa"/>
          </w:tblCellMar>
        </w:tblPrEx>
        <w:trPr>
          <w:trHeight w:val="326"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3085.43</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b w:val="0"/>
                <w:bCs/>
                <w:i w:val="0"/>
                <w:color w:val="000000"/>
                <w:sz w:val="20"/>
                <w:szCs w:val="20"/>
                <w:u w:val="none"/>
                <w:lang w:val="en-US" w:eastAsia="zh-CN"/>
              </w:rPr>
            </w:pPr>
            <w:r>
              <w:rPr>
                <w:rFonts w:hint="eastAsia" w:ascii="宋体" w:hAnsi="宋体" w:cs="宋体"/>
                <w:b w:val="0"/>
                <w:bCs/>
                <w:i w:val="0"/>
                <w:color w:val="000000"/>
                <w:sz w:val="20"/>
                <w:szCs w:val="20"/>
                <w:u w:val="none"/>
                <w:lang w:val="en-US" w:eastAsia="zh-CN"/>
              </w:rPr>
              <w:t>3085.43</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3" w:right="1440" w:bottom="1803" w:left="1440" w:header="720" w:footer="720" w:gutter="0"/>
          <w:pgNumType w:fmt="numberInDash"/>
          <w:cols w:space="0" w:num="1"/>
          <w:rtlGutter w:val="0"/>
          <w:docGrid w:type="lines" w:linePitch="319" w:charSpace="0"/>
        </w:sectPr>
      </w:pPr>
    </w:p>
    <w:tbl>
      <w:tblPr>
        <w:tblStyle w:val="6"/>
        <w:tblW w:w="13845" w:type="dxa"/>
        <w:tblInd w:w="0" w:type="dxa"/>
        <w:tblLayout w:type="fixed"/>
        <w:tblCellMar>
          <w:top w:w="0" w:type="dxa"/>
          <w:left w:w="0" w:type="dxa"/>
          <w:bottom w:w="0" w:type="dxa"/>
          <w:right w:w="0" w:type="dxa"/>
        </w:tblCellMar>
      </w:tblPr>
      <w:tblGrid>
        <w:gridCol w:w="1027"/>
        <w:gridCol w:w="59"/>
        <w:gridCol w:w="2509"/>
        <w:gridCol w:w="315"/>
        <w:gridCol w:w="1339"/>
        <w:gridCol w:w="214"/>
        <w:gridCol w:w="1459"/>
        <w:gridCol w:w="1273"/>
        <w:gridCol w:w="1291"/>
        <w:gridCol w:w="636"/>
        <w:gridCol w:w="655"/>
        <w:gridCol w:w="898"/>
        <w:gridCol w:w="411"/>
        <w:gridCol w:w="1759"/>
      </w:tblGrid>
      <w:tr>
        <w:tblPrEx>
          <w:tblCellMar>
            <w:top w:w="0" w:type="dxa"/>
            <w:left w:w="0" w:type="dxa"/>
            <w:bottom w:w="0" w:type="dxa"/>
            <w:right w:w="0" w:type="dxa"/>
          </w:tblCellMar>
        </w:tblPrEx>
        <w:trPr>
          <w:trHeight w:val="435" w:hRule="atLeast"/>
        </w:trPr>
        <w:tc>
          <w:tcPr>
            <w:tcW w:w="13845" w:type="dxa"/>
            <w:gridSpan w:val="1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0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73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00" w:hRule="atLeast"/>
        </w:trPr>
        <w:tc>
          <w:tcPr>
            <w:tcW w:w="5463" w:type="dxa"/>
            <w:gridSpan w:val="6"/>
            <w:tcBorders>
              <w:top w:val="nil"/>
              <w:left w:val="nil"/>
              <w:bottom w:val="nil"/>
              <w:right w:val="nil"/>
            </w:tcBorders>
            <w:shd w:val="clear" w:color="auto" w:fill="FFFFFF"/>
            <w:noWrap/>
            <w:tcMar>
              <w:top w:w="15" w:type="dxa"/>
              <w:left w:w="15" w:type="dxa"/>
              <w:right w:w="15" w:type="dxa"/>
            </w:tcMar>
            <w:vAlign w:val="top"/>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2732"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50" w:hRule="atLeast"/>
        </w:trPr>
        <w:tc>
          <w:tcPr>
            <w:tcW w:w="3595"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65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67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27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91"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29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30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75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5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5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359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5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450" w:hRule="atLeast"/>
        </w:trPr>
        <w:tc>
          <w:tcPr>
            <w:tcW w:w="3595"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3017.23</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2986.81</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30.42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一般公共服务支出</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174.32</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174.32</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20114</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知识产权事务</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华文中宋" w:hAnsi="华文中宋" w:eastAsia="华文中宋" w:cs="华文中宋"/>
                <w:i w:val="0"/>
                <w:color w:val="000000"/>
                <w:sz w:val="20"/>
                <w:szCs w:val="20"/>
                <w:u w:val="none"/>
                <w:lang w:val="en-US" w:eastAsia="zh-CN"/>
              </w:rPr>
            </w:pPr>
            <w:r>
              <w:rPr>
                <w:rFonts w:hint="eastAsia" w:asciiTheme="minorEastAsia" w:hAnsiTheme="minorEastAsia" w:eastAsiaTheme="minorEastAsia" w:cstheme="minorEastAsia"/>
                <w:i w:val="0"/>
                <w:color w:val="000000"/>
                <w:sz w:val="20"/>
                <w:szCs w:val="20"/>
                <w:u w:val="none"/>
                <w:lang w:val="en-US" w:eastAsia="zh-CN"/>
              </w:rPr>
              <w:t>168.09</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2011401</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行政运行</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20199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其他一般公共服务支出</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2019999</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其他一般公共服务支出</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w:t>
            </w:r>
          </w:p>
        </w:tc>
        <w:tc>
          <w:tcPr>
            <w:tcW w:w="25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科学技术支出</w:t>
            </w:r>
          </w:p>
        </w:tc>
        <w:tc>
          <w:tcPr>
            <w:tcW w:w="16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2227.24</w:t>
            </w:r>
          </w:p>
        </w:tc>
        <w:tc>
          <w:tcPr>
            <w:tcW w:w="16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2196.82</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30.42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科学技术管理实务</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1317.87</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1317.87</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2060101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行政运行</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2060102</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一般行政管理事务</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2060199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其他科学技术管理事务支出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719.14</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709.14</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20604</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技术研究与开发</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300.00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300.00</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2060402</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应用技术研究与开发</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300.00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300.00</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20607</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科学技术普及</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2060702</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科普活动</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20608</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科技交流与合作</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2060899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其他科技交流与合作支出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其他科学技术支出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353.05</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322.63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30.42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2069999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其他科学技术支出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353.05</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322.63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30.42</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社会保障和就业支出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539</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593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20805</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行政事业单位离退休</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454.68</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2080501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归口管理的行政单位离退休</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2080502</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事业单位离退休</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2080505</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机关事业单位基本养老保险缴费支出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20808</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抚恤</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2080801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死亡抚恤</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其他社会保障和就业支出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2089901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其他社会保障和就业支出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医疗卫生和计划生育支出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21011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行政事业单位医疗</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2101101</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行政单位医疗</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2101102</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事业单位医疗</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2101103</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公务员医疗补助</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213</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农林水支出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21305</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扶贫</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2130599</w:t>
            </w:r>
          </w:p>
        </w:tc>
        <w:tc>
          <w:tcPr>
            <w:tcW w:w="2509"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其他扶贫支出</w:t>
            </w:r>
          </w:p>
        </w:tc>
        <w:tc>
          <w:tcPr>
            <w:tcW w:w="165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67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27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0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15" w:hRule="atLeast"/>
        </w:trPr>
        <w:tc>
          <w:tcPr>
            <w:tcW w:w="13845" w:type="dxa"/>
            <w:gridSpan w:val="14"/>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1120"/>
        <w:gridCol w:w="90"/>
        <w:gridCol w:w="65"/>
        <w:gridCol w:w="2948"/>
        <w:gridCol w:w="110"/>
        <w:gridCol w:w="1802"/>
        <w:gridCol w:w="1801"/>
        <w:gridCol w:w="150"/>
        <w:gridCol w:w="1891"/>
        <w:gridCol w:w="1363"/>
        <w:gridCol w:w="199"/>
        <w:gridCol w:w="1183"/>
        <w:gridCol w:w="1266"/>
      </w:tblGrid>
      <w:tr>
        <w:tblPrEx>
          <w:tblCellMar>
            <w:top w:w="0" w:type="dxa"/>
            <w:left w:w="0" w:type="dxa"/>
            <w:bottom w:w="0" w:type="dxa"/>
            <w:right w:w="0" w:type="dxa"/>
          </w:tblCellMar>
        </w:tblPrEx>
        <w:trPr>
          <w:trHeight w:val="435" w:hRule="atLeast"/>
        </w:trPr>
        <w:tc>
          <w:tcPr>
            <w:tcW w:w="13988" w:type="dxa"/>
            <w:gridSpan w:val="1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4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300" w:hRule="atLeast"/>
        </w:trPr>
        <w:tc>
          <w:tcPr>
            <w:tcW w:w="6135"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1801"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6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50" w:hRule="atLeast"/>
        </w:trPr>
        <w:tc>
          <w:tcPr>
            <w:tcW w:w="4223"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91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95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891"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6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38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266"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450" w:hRule="atLeast"/>
        </w:trPr>
        <w:tc>
          <w:tcPr>
            <w:tcW w:w="1275" w:type="dxa"/>
            <w:gridSpan w:val="3"/>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9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1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5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9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6"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1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5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91"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6"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4223"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6"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4223"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2674.74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1929.65</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745.09</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一般公共服务支出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174.45</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168.22</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20114</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知识产权事务</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168.22</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168.22</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2011401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行政运行</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168.22</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168.22</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其他一般公共服务支出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2019999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其他一般公共服务支出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1884.63</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1225.65</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658.98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科学技术管理实务</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1317.87</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1225.65</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92.22</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行政运行</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2060102</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一般行政管理事务</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其他科学技术管理事务支出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719.14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711.94</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7.2</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20607</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科学技术普及</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2060702</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科普活动</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20608</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科技交流与合作</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2060899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其他科技交流与合作支出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310.44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310.44</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2069999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310.44</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310.44</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社会保障和就业支出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539</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462.12</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行政事业单位离退休</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454.68</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454.68</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归口管理的行政单位离退休</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2080502</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事业单位离退休</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2080505</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机关事业单位基本养老保险缴费支出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20808</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抚恤</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2.14</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2080801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死亡抚恤</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2.14</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其他社会保障和就业支出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2089901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其他社会保障和就业支出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医疗卫生和计划生育支出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行政事业单位医疗</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2101101</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行政单位医疗</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2101102</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事业单位医疗</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2101103</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公务员医疗补助</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农林水支出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21305</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扶贫</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275"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2130599</w:t>
            </w:r>
          </w:p>
        </w:tc>
        <w:tc>
          <w:tcPr>
            <w:tcW w:w="29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其他扶贫支出</w:t>
            </w:r>
          </w:p>
        </w:tc>
        <w:tc>
          <w:tcPr>
            <w:tcW w:w="19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9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6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30"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3994"/>
        <w:gridCol w:w="720"/>
        <w:gridCol w:w="1210"/>
        <w:gridCol w:w="3400"/>
        <w:gridCol w:w="597"/>
        <w:gridCol w:w="1383"/>
        <w:gridCol w:w="668"/>
        <w:gridCol w:w="732"/>
        <w:gridCol w:w="1284"/>
      </w:tblGrid>
      <w:tr>
        <w:tblPrEx>
          <w:tblCellMar>
            <w:top w:w="0" w:type="dxa"/>
            <w:left w:w="0" w:type="dxa"/>
            <w:bottom w:w="0" w:type="dxa"/>
            <w:right w:w="0" w:type="dxa"/>
          </w:tblCellMar>
        </w:tblPrEx>
        <w:trPr>
          <w:trHeight w:val="566"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317"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538"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28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334"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84"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5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2986.81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174.32</w:t>
            </w: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174.32</w:t>
            </w: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71"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8"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8"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4"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五</w:t>
            </w:r>
            <w:r>
              <w:rPr>
                <w:rFonts w:hint="eastAsia" w:ascii="宋体" w:hAnsi="宋体" w:eastAsia="宋体" w:cs="宋体"/>
                <w:i w:val="0"/>
                <w:color w:val="000000"/>
                <w:kern w:val="0"/>
                <w:sz w:val="20"/>
                <w:szCs w:val="20"/>
                <w:u w:val="none"/>
                <w:lang w:val="en-US" w:eastAsia="zh-CN" w:bidi="ar"/>
              </w:rPr>
              <w:t>、科学技术支出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1865.79</w:t>
            </w: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1865.79</w:t>
            </w: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6"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六、社会保障和就业支出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539.00</w:t>
            </w: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539.00</w:t>
            </w: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6"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七、医疗卫生与计划生育支出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73.67</w:t>
            </w:r>
          </w:p>
        </w:tc>
        <w:tc>
          <w:tcPr>
            <w:tcW w:w="1400"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128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八、农林水支出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83"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3.00</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128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4"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2986.81</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83"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2655.78</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2655.78</w:t>
            </w:r>
          </w:p>
        </w:tc>
        <w:tc>
          <w:tcPr>
            <w:tcW w:w="128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71"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5.44</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83"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336.48</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336.48</w:t>
            </w:r>
          </w:p>
        </w:tc>
        <w:tc>
          <w:tcPr>
            <w:tcW w:w="128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8"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5.44</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83"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0"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83"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7"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83"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84"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2992.25</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83"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2992.25</w:t>
            </w:r>
          </w:p>
        </w:tc>
        <w:tc>
          <w:tcPr>
            <w:tcW w:w="1400"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2992.25</w:t>
            </w:r>
          </w:p>
        </w:tc>
        <w:tc>
          <w:tcPr>
            <w:tcW w:w="1284"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688"/>
        <w:gridCol w:w="66"/>
        <w:gridCol w:w="3424"/>
        <w:gridCol w:w="3018"/>
        <w:gridCol w:w="3000"/>
        <w:gridCol w:w="3066"/>
      </w:tblGrid>
      <w:tr>
        <w:tblPrEx>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90"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6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9"/>
                <w:sz w:val="20"/>
                <w:szCs w:val="20"/>
                <w:lang w:val="en-US" w:eastAsia="zh-CN" w:bidi="ar"/>
              </w:rPr>
              <w:t>5表</w:t>
            </w:r>
          </w:p>
        </w:tc>
      </w:tr>
      <w:tr>
        <w:tblPrEx>
          <w:tblCellMar>
            <w:top w:w="0" w:type="dxa"/>
            <w:left w:w="0" w:type="dxa"/>
            <w:bottom w:w="0" w:type="dxa"/>
            <w:right w:w="0" w:type="dxa"/>
          </w:tblCellMar>
        </w:tblPrEx>
        <w:trPr>
          <w:trHeight w:val="300" w:hRule="atLeast"/>
        </w:trPr>
        <w:tc>
          <w:tcPr>
            <w:tcW w:w="7922"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30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6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05" w:hRule="atLeast"/>
        </w:trPr>
        <w:tc>
          <w:tcPr>
            <w:tcW w:w="4904" w:type="dxa"/>
            <w:gridSpan w:val="4"/>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9084"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495" w:hRule="atLeast"/>
        </w:trPr>
        <w:tc>
          <w:tcPr>
            <w:tcW w:w="1480"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4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0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00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066"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360" w:hRule="atLeast"/>
        </w:trPr>
        <w:tc>
          <w:tcPr>
            <w:tcW w:w="1480"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6"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0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6"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4904"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50" w:hRule="atLeast"/>
        </w:trPr>
        <w:tc>
          <w:tcPr>
            <w:tcW w:w="4904"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2655.78</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1929.53</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726.25</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一般公共服务支出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174.32</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20114</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知识产权事务</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2011401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行政运行</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168.09</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其他一般公共服务支出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2019999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其他一般公共服务支出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6.23</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1865.79</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1225.65</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640.14</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科学技术管理事务</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1317.87</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1225.65</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92.22</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行政运行</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513.71</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2060102</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一般行政管理事务</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85.02</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2060199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其他科学技术管理事务支出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719.14</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711.94</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7.2</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20607</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科学技术普及</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2060702</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科普活动</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28.68</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20608</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科技交流与合作</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2060899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其他科技交流与合作支出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227.64</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291.60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291.60</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2069999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其他科学技术支出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291.60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291.60</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社会保障和就业支出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539.00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462.12</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行政事业单位离退休</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454.68</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454.68</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归口管理的行政单位离退休</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227.41</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2080502</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事业单位离退休</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109.48</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2080505</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机关事业单位基本养老保险缴费支出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117.79</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20808</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抚恤</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2.14</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2080801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死亡抚恤</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79.02</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2.14</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76.88</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其他社会保障和就业支出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2089901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其他社会保障和就业支出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医疗卫生和计划生育支出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行政事业单位医疗</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73.67</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2101101</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行政单位医疗</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16.05</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2101102</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事业单位医疗</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20.69</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2101103</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公务员医疗补助</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农林水支出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21305</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扶贫</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CellMar>
            <w:top w:w="0" w:type="dxa"/>
            <w:left w:w="0" w:type="dxa"/>
            <w:bottom w:w="0" w:type="dxa"/>
            <w:right w:w="0" w:type="dxa"/>
          </w:tblCellMar>
        </w:tblPrEx>
        <w:trPr>
          <w:trHeight w:val="450" w:hRule="atLeast"/>
        </w:trPr>
        <w:tc>
          <w:tcPr>
            <w:tcW w:w="14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2130599</w:t>
            </w:r>
          </w:p>
        </w:tc>
        <w:tc>
          <w:tcPr>
            <w:tcW w:w="3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其他扶贫支出</w:t>
            </w:r>
          </w:p>
        </w:tc>
        <w:tc>
          <w:tcPr>
            <w:tcW w:w="3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6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3.00</w:t>
            </w:r>
          </w:p>
        </w:tc>
      </w:tr>
      <w:tr>
        <w:tblPrEx>
          <w:tblCellMar>
            <w:top w:w="0" w:type="dxa"/>
            <w:left w:w="0" w:type="dxa"/>
            <w:bottom w:w="0" w:type="dxa"/>
            <w:right w:w="0" w:type="dxa"/>
          </w:tblCellMar>
        </w:tblPrEx>
        <w:trPr>
          <w:trHeight w:val="645" w:hRule="atLeast"/>
        </w:trPr>
        <w:tc>
          <w:tcPr>
            <w:tcW w:w="13988"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2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CellMar>
            <w:top w:w="0" w:type="dxa"/>
            <w:left w:w="0" w:type="dxa"/>
            <w:bottom w:w="0" w:type="dxa"/>
            <w:right w:w="0" w:type="dxa"/>
          </w:tblCellMar>
        </w:tblPrEx>
        <w:trPr>
          <w:trHeight w:val="300" w:hRule="atLeast"/>
        </w:trPr>
        <w:tc>
          <w:tcPr>
            <w:tcW w:w="4731" w:type="dxa"/>
            <w:gridSpan w:val="3"/>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2066"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870"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3575" w:type="dxa"/>
            <w:tcBorders>
              <w:top w:val="nil"/>
              <w:left w:val="nil"/>
              <w:bottom w:val="nil"/>
              <w:right w:val="nil"/>
            </w:tcBorders>
            <w:noWrap/>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3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92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1496.80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97.33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3.65</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499.43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5.59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167.15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3.65</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248.11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269.49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117.17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41.45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37.35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36.93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74.17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331.75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135.83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193.78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0.79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1828.55</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100.98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8.61</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8.07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1.87</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1.87</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0.90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w:t>
            </w:r>
            <w:r>
              <w:rPr>
                <w:rStyle w:val="12"/>
                <w:sz w:val="20"/>
                <w:szCs w:val="20"/>
                <w:lang w:val="en-US" w:eastAsia="zh-CN" w:bidi="ar"/>
              </w:rPr>
              <w:t>预算数为“三公”经费年初预算数，决算数是包括当年一般公共预算财政拨款和以前年度结转资金安排的实际支出。</w:t>
            </w:r>
            <w:r>
              <w:rPr>
                <w:rFonts w:hint="eastAsia" w:ascii="宋体" w:hAnsi="宋体" w:eastAsia="宋体" w:cs="宋体"/>
                <w:i w:val="0"/>
                <w:color w:val="000000"/>
                <w:kern w:val="0"/>
                <w:sz w:val="20"/>
                <w:szCs w:val="20"/>
                <w:u w:val="none"/>
                <w:lang w:val="en-US" w:eastAsia="zh-CN" w:bidi="ar"/>
              </w:rPr>
              <w:t>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cs="宋体"/>
                <w:i w:val="0"/>
                <w:color w:val="000000"/>
                <w:kern w:val="0"/>
                <w:sz w:val="20"/>
                <w:szCs w:val="20"/>
                <w:u w:val="none"/>
                <w:lang w:val="en-US" w:eastAsia="zh-CN" w:bidi="ar"/>
              </w:rPr>
              <w:t>河南省新乡市科学技术局（汇总）</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26"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w:t>
            </w:r>
          </w:p>
        </w:tc>
      </w:tr>
    </w:tbl>
    <w:p>
      <w:pPr>
        <w:widowControl/>
        <w:jc w:val="left"/>
        <w:rPr>
          <w:rFonts w:hint="eastAsia" w:ascii="黑体" w:hAnsi="宋体" w:eastAsia="黑体" w:cs="宋体"/>
          <w:kern w:val="0"/>
          <w:sz w:val="28"/>
          <w:szCs w:val="28"/>
          <w:highlight w:val="none"/>
        </w:rPr>
        <w:sectPr>
          <w:pgSz w:w="16838" w:h="11906" w:orient="landscape"/>
          <w:pgMar w:top="1803" w:right="1440" w:bottom="1803" w:left="1440" w:header="720" w:footer="720" w:gutter="0"/>
          <w:pgNumType w:fmt="numberInDash"/>
          <w:cols w:space="0" w:num="1"/>
          <w:rtlGutter w:val="0"/>
          <w:docGrid w:type="lines" w:linePitch="319"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2018年度</w:t>
      </w:r>
      <w:r>
        <w:rPr>
          <w:rFonts w:hint="eastAsia" w:ascii="黑体" w:hAnsi="黑体" w:eastAsia="黑体" w:cs="黑体"/>
          <w:color w:val="auto"/>
          <w:sz w:val="48"/>
          <w:szCs w:val="48"/>
          <w:highlight w:val="none"/>
        </w:rPr>
        <w:t>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spacing w:beforeLines="0" w:afterLines="0"/>
        <w:ind w:firstLine="960" w:firstLineChars="300"/>
        <w:jc w:val="left"/>
        <w:rPr>
          <w:rFonts w:hint="eastAsia" w:ascii="仿宋" w:hAnsi="仿宋" w:eastAsia="仿宋"/>
          <w:sz w:val="32"/>
        </w:rPr>
      </w:pPr>
      <w:r>
        <w:rPr>
          <w:rFonts w:hint="eastAsia" w:ascii="黑体" w:hAnsi="黑体" w:eastAsia="黑体"/>
          <w:sz w:val="32"/>
        </w:rPr>
        <w:t>一、收入支出决算总体情况说明</w:t>
      </w:r>
    </w:p>
    <w:p>
      <w:pPr>
        <w:spacing w:beforeLines="0" w:afterLines="0"/>
        <w:ind w:firstLine="640" w:firstLineChars="200"/>
        <w:jc w:val="left"/>
        <w:rPr>
          <w:rFonts w:hint="eastAsia" w:ascii="仿宋_GB2312" w:hAnsi="仿宋_GB2312" w:eastAsia="仿宋_GB2312" w:cs="仿宋_GB2312"/>
          <w:sz w:val="32"/>
          <w:szCs w:val="32"/>
          <w:lang w:val="zh-CN" w:eastAsia="zh-CN"/>
        </w:rPr>
      </w:pPr>
      <w:r>
        <w:rPr>
          <w:rFonts w:hint="eastAsia" w:ascii="仿宋" w:hAnsi="仿宋" w:eastAsia="仿宋"/>
          <w:sz w:val="32"/>
        </w:rPr>
        <w:t xml:space="preserve"> </w:t>
      </w:r>
      <w:r>
        <w:rPr>
          <w:rFonts w:hint="eastAsia" w:ascii="仿宋_GB2312" w:hAnsi="仿宋_GB2312" w:eastAsia="仿宋_GB2312" w:cs="仿宋_GB2312"/>
          <w:sz w:val="32"/>
          <w:szCs w:val="32"/>
          <w:lang w:val="en-US" w:eastAsia="zh-CN"/>
        </w:rPr>
        <w:t xml:space="preserve"> 2018年度收、支总计均为3085.43万元。与上年度相比，收、支总计各减少7184.99万元，下降69.96%。主要原因是省拨2017年河南省国家自主创新示范区建设专项资金预算7125万元，上年转入年初结转结余后又支出，本年没有此项资金。</w:t>
      </w:r>
    </w:p>
    <w:p>
      <w:pPr>
        <w:spacing w:beforeLines="0" w:afterLines="0"/>
        <w:ind w:firstLine="640" w:firstLineChars="200"/>
        <w:jc w:val="left"/>
        <w:rPr>
          <w:rFonts w:hint="eastAsia" w:ascii="仿宋" w:hAnsi="仿宋" w:eastAsia="仿宋"/>
          <w:sz w:val="32"/>
        </w:rPr>
      </w:pPr>
      <w:r>
        <w:rPr>
          <w:rFonts w:hint="eastAsia" w:ascii="黑体" w:hAnsi="黑体" w:eastAsia="黑体"/>
          <w:sz w:val="32"/>
        </w:rPr>
        <w:t>二、收入决算情况说明</w:t>
      </w:r>
    </w:p>
    <w:p>
      <w:pPr>
        <w:spacing w:beforeLines="0" w:afterLines="0"/>
        <w:ind w:firstLine="640"/>
        <w:rPr>
          <w:rFonts w:hint="eastAsia" w:ascii="仿宋" w:hAnsi="仿宋" w:eastAsia="仿宋"/>
          <w:sz w:val="32"/>
        </w:rPr>
      </w:pPr>
      <w:r>
        <w:rPr>
          <w:rFonts w:hint="eastAsia" w:ascii="仿宋_GB2312" w:hAnsi="仿宋_GB2312" w:eastAsia="仿宋_GB2312" w:cs="仿宋_GB2312"/>
          <w:sz w:val="32"/>
          <w:szCs w:val="32"/>
          <w:lang w:val="en-US" w:eastAsia="zh-CN"/>
        </w:rPr>
        <w:t>2018年度收入合计3017.23万元，其中：财政拨款收入2986.81万元，占98.99%；上级补助收入0万元，占0%；事业收入0万元，占0%；经营收入0万元，占0%；附属单位上缴收入0万元，占0%；其他收入30.42万元，占1.01%。</w:t>
      </w:r>
    </w:p>
    <w:p>
      <w:pPr>
        <w:spacing w:beforeLines="0" w:afterLines="0"/>
        <w:ind w:firstLine="640" w:firstLineChars="200"/>
        <w:jc w:val="left"/>
        <w:rPr>
          <w:rFonts w:hint="eastAsia" w:ascii="仿宋" w:hAnsi="仿宋" w:eastAsia="仿宋"/>
          <w:sz w:val="32"/>
        </w:rPr>
      </w:pPr>
      <w:r>
        <w:rPr>
          <w:rFonts w:hint="eastAsia" w:ascii="黑体" w:hAnsi="黑体" w:eastAsia="黑体"/>
          <w:sz w:val="32"/>
        </w:rPr>
        <w:t>三、支出决算情况说明</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2018年度支出合计2674.74万元，其中：基本支出1929.65万元，占72.14%；项目支出745.09万元，占27.86%；上缴上级支出0万元，占0%；经营支出0万元，占0%；对附属单位支出0万元，占0%。</w:t>
      </w:r>
    </w:p>
    <w:p>
      <w:pPr>
        <w:spacing w:beforeLines="0" w:afterLines="0"/>
        <w:ind w:firstLine="640"/>
        <w:jc w:val="left"/>
        <w:rPr>
          <w:rFonts w:hint="eastAsia" w:ascii="仿宋" w:hAnsi="仿宋" w:eastAsia="仿宋"/>
          <w:sz w:val="32"/>
        </w:rPr>
      </w:pPr>
      <w:r>
        <w:rPr>
          <w:rFonts w:hint="eastAsia" w:ascii="黑体" w:hAnsi="黑体" w:eastAsia="黑体"/>
          <w:sz w:val="32"/>
        </w:rPr>
        <w:t>四、财政拨款收入支出决算总体情况说明</w:t>
      </w:r>
    </w:p>
    <w:p>
      <w:pPr>
        <w:spacing w:beforeLines="0" w:afterLines="0"/>
        <w:ind w:firstLine="640" w:firstLineChars="20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2018年度财政拨款收、支总计均为2992.25万元。与上年度相比，财政拨款收、支总计各减少7272.95万元，下降70.85%。主要原因是省拨2017年河南省国家自主创新示范区建设专项资金预算7125万元，上年转入年初结转结余后又支出，本年没有此项资金。</w:t>
      </w:r>
    </w:p>
    <w:p>
      <w:pPr>
        <w:spacing w:beforeLines="0" w:afterLines="0"/>
        <w:ind w:firstLine="640" w:firstLineChars="200"/>
        <w:jc w:val="left"/>
        <w:rPr>
          <w:rFonts w:hint="eastAsia" w:ascii="仿宋" w:hAnsi="仿宋" w:eastAsia="仿宋"/>
          <w:sz w:val="32"/>
        </w:rPr>
      </w:pPr>
      <w:r>
        <w:rPr>
          <w:rFonts w:hint="eastAsia" w:ascii="黑体" w:hAnsi="黑体" w:eastAsia="黑体"/>
          <w:sz w:val="32"/>
        </w:rPr>
        <w:t>五、一般公共预算财政拨款支出决算情况说明</w:t>
      </w:r>
    </w:p>
    <w:p>
      <w:pPr>
        <w:spacing w:beforeLines="0" w:afterLines="0"/>
        <w:ind w:firstLine="640"/>
        <w:jc w:val="left"/>
        <w:rPr>
          <w:rFonts w:hint="eastAsia" w:ascii="仿宋" w:hAnsi="仿宋" w:eastAsia="仿宋"/>
          <w:sz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rPr>
        <w:t>总体情况。</w:t>
      </w:r>
    </w:p>
    <w:p>
      <w:pPr>
        <w:spacing w:beforeLines="0" w:afterLines="0"/>
        <w:ind w:firstLine="640" w:firstLineChars="20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2018年一般公共预算财政拨款支出2655.78万元，占本年支出合计的99.29%。与上年度相比，一般公共预算财政拨款支出减少6045.43万元，下降69.48%。主要原因是省拨2017年河南省国家自主创新示范区建设专项资金预算7125万元，上年转入年初结转结余后又支出，本年没有此项资金。</w:t>
      </w:r>
    </w:p>
    <w:p>
      <w:pPr>
        <w:spacing w:beforeLines="0" w:afterLines="0"/>
        <w:ind w:firstLine="643" w:firstLineChars="200"/>
        <w:jc w:val="left"/>
        <w:rPr>
          <w:rFonts w:hint="eastAsia" w:ascii="仿宋" w:hAnsi="仿宋" w:eastAsia="仿宋"/>
          <w:sz w:val="32"/>
        </w:rPr>
      </w:pPr>
      <w:r>
        <w:rPr>
          <w:rFonts w:hint="eastAsia" w:ascii="楷体_GB2312" w:hAnsi="楷体_GB2312" w:eastAsia="楷体_GB2312" w:cs="楷体_GB2312"/>
          <w:b/>
          <w:bCs/>
          <w:sz w:val="32"/>
          <w:szCs w:val="32"/>
        </w:rPr>
        <w:t>（二）结构情况。</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一般公共预算财政拨款支出2655.78万元，主要用于以下方面：一般公共服务（类）支出174.32万元，占6.56%；科学技术（类）支出1865.79万元，占70.26%；社会保障和就业（类）支出539万元，占20.30%；医疗卫生和计划生育（类）支出73.67万元，占2.77%；农林水（类）支出3万元，占0.11%；</w:t>
      </w:r>
    </w:p>
    <w:p>
      <w:pPr>
        <w:spacing w:beforeLines="0" w:afterLines="0"/>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rPr>
        <w:t>三）具体情况。</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2018年度一般公共预算财政拨款支出年初预算为1654.87万元，支出决算为2655.78万元，完成年初预算的160.48%。其中：</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1．一般公共服务支出（类201）知识产权事务（款20114）行政运行（项2011401）。年初预算为114.56万元，支出决算为174.32万元，完成年初预算的152.16%。决算数与年初预算数存在差异的主要原因是人员经费的增加。</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学技术支出（类206）科学技术管理事务（款20601）行政运行（项2060101）。年初预算为1129.18万元，支出决算为1865.79万元，完成年初预算的165.23%。决算数与年初预算数存在差异的主要原因是组织召开第一届高博会经费增加及人员经费增加。</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类208）行政事业单位离退休（款20805）归口管理的行政单位离退休（项2080501）事业单位离退休（项2080502）机关事业单位基本养老保险缴费支出（项208055）死亡抚恤（2080801）。年初预算为333.21万元，支出决算为539万元，完成年初预算的161.76%。决算数与年初预算数存在差异的主要原因是离退休经费增加及死亡人员增加。</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疗卫生与计划生育支出（类210）行政事业单位医疗（款21011）行政单位医疗（项2101101）事业单位医疗（2101102）公务员医疗补助（2101103）。年初预算为77.92万元，支出决算为73.67万元，完成年初预算的94.55%。决算数与年初预算数存在差异的主要原因是在职人员减少。</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5.农林水支出（类213）扶贫（款21305）其他扶贫支出（项2130599）。财政预算为3万元，支出决算为3万元。</w:t>
      </w:r>
    </w:p>
    <w:p>
      <w:pPr>
        <w:spacing w:beforeLines="0" w:afterLines="0"/>
        <w:ind w:firstLine="640" w:firstLineChars="200"/>
        <w:jc w:val="left"/>
        <w:rPr>
          <w:rFonts w:hint="eastAsia" w:ascii="仿宋" w:hAnsi="仿宋" w:eastAsia="仿宋"/>
          <w:sz w:val="32"/>
        </w:rPr>
      </w:pPr>
      <w:r>
        <w:rPr>
          <w:rFonts w:hint="eastAsia" w:ascii="黑体" w:hAnsi="黑体" w:eastAsia="黑体"/>
          <w:sz w:val="32"/>
        </w:rPr>
        <w:t>六、一般公共预算财政拨款基本支出决算情况说明</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一般公共预算财政拨款基本支出1929.53万元，。其中：人员经费1828.55万元，主要包括：基本工资499.43万元、津贴补贴167.15、绩效工资269.49万元、奖金248.11万元、基本养老保险117.17万元、职业年金缴费41.45万元、基本医疗保险缴费37.35万元、公务员医疗补助缴费36.93万元、其他社会保障缴费5.3万元、住房公积金74.17万元、其他工资福利支出0.23万元、离休费135.83万元、退休费193.78万元、抚恤金0.36万元、生活补助0.79万元、其他对个人和家庭的补助支出1万元；公用经费100.98万元，主要包括：办公费5.59万元、邮电费2.23万元、差旅费6.72万元、培训费0.19万元、公务接待费0.15万元、劳务费7.12万元、工会经费13.47万元、福利费16.82万元、公务用车运行维护费1.30万元、其他交通费用36.40万元、其他商品和服务支出7.34万元、办公设备购置费3.65万元。</w:t>
      </w:r>
    </w:p>
    <w:p>
      <w:pPr>
        <w:spacing w:beforeLines="0" w:afterLines="0"/>
        <w:ind w:firstLine="640"/>
        <w:jc w:val="left"/>
        <w:rPr>
          <w:rFonts w:hint="eastAsia" w:ascii="仿宋" w:hAnsi="仿宋" w:eastAsia="仿宋"/>
          <w:sz w:val="32"/>
        </w:rPr>
      </w:pPr>
      <w:r>
        <w:rPr>
          <w:rFonts w:hint="eastAsia" w:ascii="黑体" w:hAnsi="黑体" w:eastAsia="黑体"/>
          <w:sz w:val="32"/>
        </w:rPr>
        <w:t>七、一般公共预算财政拨款</w:t>
      </w:r>
      <w:r>
        <w:rPr>
          <w:rFonts w:hint="default" w:ascii="黑体" w:hAnsi="黑体" w:eastAsia="黑体"/>
          <w:sz w:val="32"/>
        </w:rPr>
        <w:t>“</w:t>
      </w:r>
      <w:r>
        <w:rPr>
          <w:rFonts w:hint="eastAsia" w:ascii="黑体" w:hAnsi="黑体" w:eastAsia="黑体"/>
          <w:sz w:val="32"/>
        </w:rPr>
        <w:t>三公</w:t>
      </w:r>
      <w:r>
        <w:rPr>
          <w:rFonts w:hint="default" w:ascii="黑体" w:hAnsi="黑体" w:eastAsia="黑体"/>
          <w:sz w:val="32"/>
        </w:rPr>
        <w:t>”</w:t>
      </w:r>
      <w:r>
        <w:rPr>
          <w:rFonts w:hint="eastAsia" w:ascii="黑体" w:hAnsi="黑体" w:eastAsia="黑体"/>
          <w:sz w:val="32"/>
        </w:rPr>
        <w:t>经费支出决算情况说明</w:t>
      </w:r>
    </w:p>
    <w:p>
      <w:pPr>
        <w:spacing w:beforeLines="0" w:afterLines="0"/>
        <w:ind w:firstLine="640"/>
        <w:jc w:val="left"/>
        <w:rPr>
          <w:rFonts w:hint="eastAsia" w:ascii="仿宋" w:hAnsi="仿宋" w:eastAsia="仿宋"/>
          <w:sz w:val="32"/>
        </w:rPr>
      </w:pPr>
      <w:r>
        <w:rPr>
          <w:rFonts w:hint="eastAsia" w:ascii="楷体_GB2312" w:hAnsi="楷体_GB2312" w:eastAsia="楷体_GB2312" w:cs="楷体_GB2312"/>
          <w:b/>
          <w:bCs/>
          <w:sz w:val="32"/>
          <w:szCs w:val="32"/>
        </w:rPr>
        <w:t>（一）</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rPr>
        <w:t>三公</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rPr>
        <w:t>经费</w:t>
      </w:r>
      <w:r>
        <w:rPr>
          <w:rFonts w:hint="eastAsia" w:ascii="楷体_GB2312" w:hAnsi="楷体_GB2312" w:eastAsia="楷体_GB2312" w:cs="楷体_GB2312"/>
          <w:b/>
          <w:bCs/>
          <w:sz w:val="32"/>
          <w:szCs w:val="32"/>
        </w:rPr>
        <w:t>财政拨款支出决算总体情况说明。</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经费财政拨款支出预算为8.61万元，支出决算为8.07万元，完成预算的93.71%。2018年度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经费支出决算数与预算数存在差异的主要原因是接待人数减少及公务用车次数减少。</w:t>
      </w:r>
    </w:p>
    <w:p>
      <w:pPr>
        <w:spacing w:beforeLines="0" w:afterLines="0"/>
        <w:ind w:firstLine="640"/>
        <w:rPr>
          <w:rFonts w:hint="eastAsia" w:ascii="仿宋" w:hAnsi="仿宋" w:eastAsia="仿宋"/>
          <w:sz w:val="32"/>
        </w:rPr>
      </w:pPr>
      <w:r>
        <w:rPr>
          <w:rFonts w:hint="eastAsia" w:ascii="楷体_GB2312" w:hAnsi="楷体_GB2312" w:eastAsia="楷体_GB2312" w:cs="楷体_GB2312"/>
          <w:b/>
          <w:bCs/>
          <w:sz w:val="32"/>
          <w:szCs w:val="32"/>
        </w:rPr>
        <w:t>（二）</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rPr>
        <w:t>三公</w:t>
      </w: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rPr>
        <w:t>经费财政拨款支出决算具体情况说明。</w:t>
      </w:r>
    </w:p>
    <w:p>
      <w:pPr>
        <w:spacing w:beforeLines="0" w:afterLines="0"/>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2018年度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经费财政拨款支出决算中，因公出</w:t>
      </w:r>
      <w:r>
        <w:rPr>
          <w:rFonts w:hint="eastAsia" w:ascii="仿宋_GB2312" w:hAnsi="仿宋_GB2312" w:eastAsia="仿宋_GB2312" w:cs="仿宋_GB2312"/>
          <w:sz w:val="32"/>
          <w:szCs w:val="32"/>
          <w:lang w:val="en-US" w:eastAsia="zh-CN"/>
        </w:rPr>
        <w:t>国（境）费支出决算5.3万元，完成预算的97.61%，占65.68%；公务用车购置及运行费支出决算1.87万元,完成预算的93.40%，占23.15%，；公务接待费支出决算0.9万元，完成预算的76.34%，占11.17%，。具体情况如下：</w:t>
      </w:r>
    </w:p>
    <w:p>
      <w:pPr>
        <w:spacing w:beforeLines="0" w:afterLines="0"/>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年初预算为5.43万元，支出决算为5.3万元，完成年初预算的97.61%。决算数与年初预算数存在差异的主要原因是出国费用的减少。全年因公出国（境）团组1个，累计1人次。开支内容包括：经省政府（豫证出外任字[2018]0503号）批准，刘玫琳同志随团赴乌克兰、白俄罗斯、俄罗斯进行高层次人才引进及对新乡自创区进行推介宣传产生的住宿费、伙食费、交通费、公杂费等。</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2．公务用车购置及运行费年初预算为2万元，支出决算为1.87万元，完成年初预算的93.40%。决算数与年初预算数存在差异的主要原因是公务用车使用减少。其中：</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公务用车购置支出为0万元，购置车辆0台。</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公务用车运行支出1.87万元。主要用于购置燃料费、公务用车路桥费、公务用车维修费。2018年期末，部门开支财政拨款的公务用车保有量为2辆。</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3．公务接待费年初预算为1.18万元，支出决算为0.9万元，完成年初预算的76.34%。决算数与年初预算数存在差异的主要原因是接待人数的减少。其中：</w:t>
      </w:r>
    </w:p>
    <w:p>
      <w:pPr>
        <w:spacing w:beforeLines="0" w:afterLines="0"/>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外宾接待支出0万元。2018年共接待国（境）外来访团组0个、来访外宾0人次（不包括陪同人员）。</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其他国内公务接待支出0.9万元，主要用于郑洛新国家自主创新示范区接待及科技工作接待。2018年共接待国内来访团组12个、来访人员118人次（不包括陪同人员）。</w:t>
      </w:r>
    </w:p>
    <w:p>
      <w:pPr>
        <w:spacing w:beforeLines="0" w:afterLines="0"/>
        <w:ind w:firstLine="640"/>
        <w:jc w:val="left"/>
        <w:rPr>
          <w:rFonts w:hint="eastAsia" w:ascii="仿宋" w:hAnsi="仿宋" w:eastAsia="仿宋"/>
          <w:sz w:val="32"/>
        </w:rPr>
      </w:pPr>
      <w:r>
        <w:rPr>
          <w:rFonts w:hint="eastAsia" w:ascii="黑体" w:hAnsi="黑体" w:eastAsia="黑体"/>
          <w:sz w:val="32"/>
        </w:rPr>
        <w:t>八、预算绩效情况说明</w:t>
      </w:r>
    </w:p>
    <w:p>
      <w:pPr>
        <w:spacing w:beforeLines="0" w:afterLines="0"/>
        <w:ind w:firstLine="640"/>
        <w:jc w:val="left"/>
        <w:rPr>
          <w:rFonts w:hint="eastAsia" w:ascii="仿宋" w:hAnsi="仿宋" w:eastAsia="仿宋" w:cs="仿宋"/>
          <w:sz w:val="32"/>
        </w:rPr>
      </w:pPr>
      <w:r>
        <w:rPr>
          <w:rFonts w:hint="eastAsia" w:ascii="楷体_GB2312" w:hAnsi="楷体_GB2312" w:eastAsia="楷体_GB2312" w:cs="楷体_GB2312"/>
          <w:b/>
          <w:bCs/>
          <w:sz w:val="32"/>
          <w:szCs w:val="32"/>
        </w:rPr>
        <w:t>（一）绩效管理工作开展情况。</w:t>
      </w:r>
    </w:p>
    <w:p>
      <w:pPr>
        <w:spacing w:beforeLines="0" w:afterLines="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我局对预算工作高度重视，加强预算编制绩效管理，及时召开预算会议，认真制定预算方案，积极组织做好中期财政规划滚动编制工作。按照绩效管理考评标准严格工作程序，认真做好预算工作。</w:t>
      </w:r>
    </w:p>
    <w:p>
      <w:pPr>
        <w:spacing w:beforeLines="0" w:afterLines="0"/>
        <w:ind w:firstLine="643" w:firstLineChars="200"/>
        <w:jc w:val="left"/>
        <w:rPr>
          <w:rFonts w:hint="eastAsia" w:ascii="仿宋" w:hAnsi="仿宋" w:eastAsia="仿宋" w:cs="仿宋"/>
          <w:sz w:val="32"/>
        </w:rPr>
      </w:pPr>
      <w:r>
        <w:rPr>
          <w:rFonts w:hint="eastAsia" w:ascii="楷体_GB2312" w:hAnsi="楷体_GB2312" w:eastAsia="楷体_GB2312" w:cs="楷体_GB2312"/>
          <w:b/>
          <w:bCs/>
          <w:sz w:val="32"/>
          <w:szCs w:val="32"/>
        </w:rPr>
        <w:t>（二）项目</w:t>
      </w:r>
      <w:r>
        <w:rPr>
          <w:rFonts w:hint="eastAsia" w:ascii="楷体_GB2312" w:hAnsi="楷体_GB2312" w:eastAsia="楷体_GB2312" w:cs="楷体_GB2312"/>
          <w:b/>
          <w:bCs/>
          <w:sz w:val="32"/>
          <w:szCs w:val="32"/>
        </w:rPr>
        <w:t>绩效自评结果。</w:t>
      </w:r>
    </w:p>
    <w:p>
      <w:pPr>
        <w:spacing w:beforeLines="0" w:afterLines="0"/>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加强项目管理，对绩效不明显、功能作用重复的项目资金进行清理整合；对目标不清晰、资金测算不合理、当年预计无法支出的项目不予安排。对每个项目都分析设立的必要性、可行性和经济性，建立部门项目库。项目支出按照“当年安排、当年支出”的原则进行安排。能够严格按照有关法规和文件要求，确保项目安排科学、能够发挥效益，能保证项目资金及时支出，减少项目追加和调整。能高质量高标准完成项目预算工作。自我评价为96分。</w:t>
      </w:r>
    </w:p>
    <w:p>
      <w:pPr>
        <w:spacing w:beforeLines="0" w:afterLines="0"/>
        <w:ind w:firstLine="640" w:firstLineChars="200"/>
        <w:jc w:val="left"/>
        <w:rPr>
          <w:rFonts w:hint="eastAsia" w:ascii="仿宋" w:hAnsi="仿宋" w:eastAsia="仿宋"/>
          <w:sz w:val="32"/>
        </w:rPr>
      </w:pPr>
      <w:r>
        <w:rPr>
          <w:rFonts w:hint="eastAsia" w:ascii="黑体" w:hAnsi="黑体" w:eastAsia="黑体"/>
          <w:sz w:val="32"/>
        </w:rPr>
        <w:t>九、政府性基金预算财政拨款支出决算情况说明</w:t>
      </w:r>
    </w:p>
    <w:p>
      <w:pPr>
        <w:spacing w:beforeLines="0" w:afterLines="0"/>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2018年度政府性基金预算财政拨款支出年初预算为0万元，支出决算为0万元，完成年初预算的0%。原因是我部门2018年度没有政府性基金收入，也没有使用政府性基金安排的支出。</w:t>
      </w:r>
    </w:p>
    <w:p>
      <w:pPr>
        <w:spacing w:beforeLines="0" w:afterLines="0"/>
        <w:ind w:firstLine="640"/>
        <w:jc w:val="left"/>
        <w:rPr>
          <w:rFonts w:hint="eastAsia" w:ascii="仿宋" w:hAnsi="仿宋" w:eastAsia="仿宋"/>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十、机关运行经费支出情况说明</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2018年度机关运行经费年初预算为55.63万元，支出决算为88.87万元，完成年初预算的159.75%。决算数与年初预算数存在差异的主要原因是2018年度组织召开第一届高博会增加了会议费、印刷费、办公费等的支出。</w:t>
      </w:r>
    </w:p>
    <w:p>
      <w:pPr>
        <w:spacing w:beforeLines="0" w:afterLines="0"/>
        <w:ind w:firstLine="640"/>
        <w:jc w:val="left"/>
        <w:rPr>
          <w:rFonts w:hint="eastAsia" w:ascii="仿宋" w:hAnsi="仿宋" w:eastAsia="仿宋"/>
          <w:sz w:val="32"/>
        </w:rPr>
      </w:pPr>
      <w:r>
        <w:rPr>
          <w:rFonts w:hint="eastAsia" w:ascii="黑体" w:hAnsi="黑体" w:eastAsia="黑体"/>
          <w:sz w:val="32"/>
        </w:rPr>
        <w:t>十一、政府采购支出情况说明</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政府采购支出总额201.11万元，其中：政府采购货物支出25.60万、政府采购工程支出0万元、政府采购服务支出175.51万元。授予中小企业合同金额0万元，占政府采购政府采购支出总额的0%，其中：授予小微企业合同金额0万元，占政府采购支出总额的0%。</w:t>
      </w:r>
    </w:p>
    <w:p>
      <w:pPr>
        <w:spacing w:beforeLines="0" w:afterLines="0"/>
        <w:ind w:firstLine="640"/>
        <w:jc w:val="left"/>
        <w:rPr>
          <w:rFonts w:hint="eastAsia" w:ascii="仿宋" w:hAnsi="仿宋" w:eastAsia="仿宋"/>
          <w:sz w:val="32"/>
        </w:rPr>
      </w:pPr>
      <w:r>
        <w:rPr>
          <w:rFonts w:hint="eastAsia" w:ascii="黑体" w:hAnsi="黑体" w:eastAsia="黑体"/>
          <w:sz w:val="32"/>
        </w:rPr>
        <w:t>十二、国有资产占用情况说明</w:t>
      </w:r>
    </w:p>
    <w:p>
      <w:pPr>
        <w:spacing w:beforeLines="0" w:afterLines="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2018年期末，我部门共有车辆2辆，其中：省级领导干部用车0辆、机要通信用车0辆、</w:t>
      </w:r>
      <w:r>
        <w:rPr>
          <w:rFonts w:hint="eastAsia" w:ascii="仿宋_GB2312" w:hAnsi="仿宋_GB2312" w:eastAsia="仿宋_GB2312" w:cs="仿宋_GB2312"/>
          <w:sz w:val="32"/>
          <w:szCs w:val="32"/>
          <w:lang w:val="zh-CN" w:eastAsia="zh-CN"/>
        </w:rPr>
        <w:t>应急保障用车1辆、执法执勤用车1辆、特种专用技术用车</w:t>
      </w:r>
      <w:r>
        <w:rPr>
          <w:rFonts w:hint="eastAsia" w:ascii="仿宋_GB2312" w:hAnsi="仿宋_GB2312" w:eastAsia="仿宋_GB2312" w:cs="仿宋_GB2312"/>
          <w:sz w:val="32"/>
          <w:szCs w:val="32"/>
          <w:lang w:val="en-US" w:eastAsia="zh-CN"/>
        </w:rPr>
        <w:t>0辆、离退休干部用车0辆、其他用车0辆；单位价值50万元以上通用设备423台（套），单位价值100万元以上专用设备0台（套）</w:t>
      </w:r>
      <w:r>
        <w:rPr>
          <w:rFonts w:hint="eastAsia" w:ascii="仿宋_GB2312" w:hAnsi="仿宋_GB2312" w:eastAsia="仿宋_GB2312" w:cs="仿宋_GB2312"/>
          <w:sz w:val="32"/>
          <w:szCs w:val="32"/>
          <w:lang w:val="zh-CN" w:eastAsia="zh-CN"/>
        </w:rPr>
        <w:t>。</w:t>
      </w:r>
    </w:p>
    <w:p>
      <w:pPr>
        <w:spacing w:beforeLines="0" w:afterLines="0"/>
        <w:ind w:firstLine="640"/>
        <w:jc w:val="left"/>
        <w:rPr>
          <w:rFonts w:hint="eastAsia" w:ascii="仿宋" w:hAnsi="仿宋" w:eastAsia="仿宋"/>
          <w:sz w:val="32"/>
        </w:rPr>
      </w:pPr>
      <w:r>
        <w:rPr>
          <w:rFonts w:hint="eastAsia" w:ascii="黑体" w:hAnsi="黑体" w:eastAsia="黑体"/>
          <w:sz w:val="32"/>
        </w:rPr>
        <w:t>十三、其他重要事项的情况说明</w:t>
      </w:r>
    </w:p>
    <w:p>
      <w:pPr>
        <w:spacing w:beforeLines="0" w:afterLines="0"/>
        <w:jc w:val="left"/>
        <w:rPr>
          <w:rFonts w:hint="eastAsia" w:ascii="Times New Roman" w:hAnsi="Times New Roman" w:eastAsia="仿宋"/>
          <w:sz w:val="52"/>
          <w:lang w:eastAsia="zh-CN"/>
        </w:rPr>
      </w:pPr>
      <w:r>
        <w:rPr>
          <w:rFonts w:hint="eastAsia" w:ascii="仿宋" w:hAnsi="仿宋" w:eastAsia="仿宋"/>
          <w:sz w:val="32"/>
        </w:rPr>
        <w:t xml:space="preserve">   </w:t>
      </w:r>
      <w:r>
        <w:rPr>
          <w:rFonts w:hint="eastAsia" w:ascii="仿宋_GB2312" w:hAnsi="仿宋_GB2312" w:eastAsia="仿宋_GB2312" w:cs="仿宋_GB2312"/>
          <w:sz w:val="32"/>
          <w:szCs w:val="32"/>
          <w:lang w:val="en-US" w:eastAsia="zh-CN"/>
        </w:rPr>
        <w:t xml:space="preserve"> 无。</w:t>
      </w:r>
    </w:p>
    <w:p>
      <w:pPr>
        <w:spacing w:beforeLines="0" w:afterLines="0"/>
        <w:rPr>
          <w:rFonts w:hint="default" w:ascii="Times New Roman" w:hAnsi="Times New Roman" w:eastAsia="Times New Roman"/>
          <w:sz w:val="21"/>
        </w:rPr>
      </w:pPr>
    </w:p>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一、财政拨款收入：单位从同级政府财政部门取得财政</w:t>
      </w:r>
      <w:r>
        <w:rPr>
          <w:rFonts w:hint="eastAsia" w:ascii="仿宋_GB2312" w:hAnsi="仿宋_GB2312" w:eastAsia="仿宋_GB2312" w:cs="仿宋_GB2312"/>
          <w:sz w:val="32"/>
          <w:szCs w:val="32"/>
          <w:lang w:eastAsia="zh-CN"/>
        </w:rPr>
        <w:t>预算资金</w:t>
      </w:r>
      <w:r>
        <w:rPr>
          <w:rFonts w:hint="eastAsia" w:ascii="仿宋_GB2312" w:hAnsi="仿宋_GB2312" w:eastAsia="仿宋_GB2312" w:cs="仿宋_GB2312"/>
          <w:sz w:val="32"/>
          <w:szCs w:val="32"/>
        </w:rPr>
        <w:t>。</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二、其他收入：单位取得的除“财政拨款收入”、“事业收入”、“上级补助收入”、“附属单位上缴收入”、“经营收入”等以外的收入。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黑体" w:hAnsi="仿宋_GB2312" w:eastAsia="黑体"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、年末结余：本年度或以前年度预算安排，已执行完毕或因客观条件发生变化无法按原预算安排实施，不需要再使用或无法按原预算安排继续使用的资金。</w:t>
      </w:r>
    </w:p>
    <w:p>
      <w:pPr>
        <w:widowControl/>
        <w:jc w:val="left"/>
        <w:rPr>
          <w:rFonts w:hint="eastAsia" w:ascii="黑体" w:hAnsi="宋体" w:eastAsia="黑体" w:cs="宋体"/>
          <w:color w:val="auto"/>
          <w:kern w:val="0"/>
          <w:sz w:val="28"/>
          <w:szCs w:val="28"/>
          <w:highlight w:val="none"/>
          <w:lang w:val="en-US" w:eastAsia="zh-CN"/>
        </w:rPr>
      </w:pPr>
    </w:p>
    <w:p/>
    <w:sectPr>
      <w:footerReference r:id="rId4" w:type="default"/>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7C37"/>
    <w:rsid w:val="021D3CDD"/>
    <w:rsid w:val="04FE1C89"/>
    <w:rsid w:val="051E77B7"/>
    <w:rsid w:val="06E869D0"/>
    <w:rsid w:val="0728337B"/>
    <w:rsid w:val="0BB23C19"/>
    <w:rsid w:val="0DEF1B12"/>
    <w:rsid w:val="0E6B1BC3"/>
    <w:rsid w:val="0EE335B4"/>
    <w:rsid w:val="119B7421"/>
    <w:rsid w:val="128B330E"/>
    <w:rsid w:val="15916FFC"/>
    <w:rsid w:val="17077A83"/>
    <w:rsid w:val="180938B3"/>
    <w:rsid w:val="18D80C45"/>
    <w:rsid w:val="19F13D85"/>
    <w:rsid w:val="1A2F24CC"/>
    <w:rsid w:val="1CD45E28"/>
    <w:rsid w:val="1F170D4E"/>
    <w:rsid w:val="21BC0596"/>
    <w:rsid w:val="21E20BDD"/>
    <w:rsid w:val="282547DC"/>
    <w:rsid w:val="29185EF5"/>
    <w:rsid w:val="29AB2BF5"/>
    <w:rsid w:val="2A123A81"/>
    <w:rsid w:val="2CA463D8"/>
    <w:rsid w:val="2D4374FA"/>
    <w:rsid w:val="2F006910"/>
    <w:rsid w:val="2F1B4FAD"/>
    <w:rsid w:val="2F595F54"/>
    <w:rsid w:val="336720AE"/>
    <w:rsid w:val="33D214ED"/>
    <w:rsid w:val="345676BB"/>
    <w:rsid w:val="361C436C"/>
    <w:rsid w:val="37BE7567"/>
    <w:rsid w:val="3F7427C2"/>
    <w:rsid w:val="401D37BA"/>
    <w:rsid w:val="43A820C0"/>
    <w:rsid w:val="453F153A"/>
    <w:rsid w:val="45E86330"/>
    <w:rsid w:val="46D10A50"/>
    <w:rsid w:val="4A177CD8"/>
    <w:rsid w:val="4D4022C2"/>
    <w:rsid w:val="4E112513"/>
    <w:rsid w:val="4F195A00"/>
    <w:rsid w:val="50C60C69"/>
    <w:rsid w:val="51425E3A"/>
    <w:rsid w:val="52EB0C9D"/>
    <w:rsid w:val="56617FCA"/>
    <w:rsid w:val="59EE77C9"/>
    <w:rsid w:val="5A2942F8"/>
    <w:rsid w:val="5B914F45"/>
    <w:rsid w:val="5C4A0971"/>
    <w:rsid w:val="5CBC0EF7"/>
    <w:rsid w:val="5DF27885"/>
    <w:rsid w:val="600A296E"/>
    <w:rsid w:val="62C14CB5"/>
    <w:rsid w:val="633F3908"/>
    <w:rsid w:val="634957E7"/>
    <w:rsid w:val="637145E7"/>
    <w:rsid w:val="63AD3C9F"/>
    <w:rsid w:val="66802527"/>
    <w:rsid w:val="66917085"/>
    <w:rsid w:val="6733032F"/>
    <w:rsid w:val="6C080B61"/>
    <w:rsid w:val="6D6E192F"/>
    <w:rsid w:val="6EE84056"/>
    <w:rsid w:val="72266904"/>
    <w:rsid w:val="733C4935"/>
    <w:rsid w:val="736E7375"/>
    <w:rsid w:val="76D93C4C"/>
    <w:rsid w:val="76EB524B"/>
    <w:rsid w:val="7B2303EA"/>
    <w:rsid w:val="7C5F22E6"/>
    <w:rsid w:val="7C5F65FB"/>
    <w:rsid w:val="7DFD5E7B"/>
    <w:rsid w:val="7EF265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 w:type="character" w:customStyle="1" w:styleId="9">
    <w:name w:val="font11"/>
    <w:basedOn w:val="7"/>
    <w:qFormat/>
    <w:uiPriority w:val="0"/>
    <w:rPr>
      <w:rFonts w:hint="eastAsia" w:ascii="宋体" w:hAnsi="宋体" w:eastAsia="宋体" w:cs="宋体"/>
      <w:color w:val="000000"/>
      <w:sz w:val="20"/>
      <w:szCs w:val="20"/>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 w:type="character" w:customStyle="1" w:styleId="12">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风和日丽</cp:lastModifiedBy>
  <cp:lastPrinted>2019-09-23T04:10:00Z</cp:lastPrinted>
  <dcterms:modified xsi:type="dcterms:W3CDTF">2021-07-02T00:38:18Z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AC27F378217A489AB5681F5ECD9F03C6</vt:lpwstr>
  </property>
</Properties>
</file>