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hAnsi="Times New Roman" w:eastAsia="方正小标宋简体"/>
          <w:sz w:val="36"/>
          <w:szCs w:val="36"/>
        </w:rPr>
      </w:pPr>
    </w:p>
    <w:p>
      <w:pPr>
        <w:adjustRightInd w:val="0"/>
        <w:snapToGrid w:val="0"/>
        <w:spacing w:line="360" w:lineRule="auto"/>
        <w:jc w:val="center"/>
        <w:rPr>
          <w:rFonts w:ascii="方正小标宋简体" w:hAnsi="Times New Roman" w:eastAsia="方正小标宋简体"/>
          <w:sz w:val="36"/>
          <w:szCs w:val="36"/>
        </w:rPr>
      </w:pPr>
      <w:r>
        <w:rPr>
          <w:rFonts w:ascii="方正小标宋简体" w:hAnsi="Times New Roman" w:eastAsia="方正小标宋简体"/>
          <w:sz w:val="36"/>
          <w:szCs w:val="36"/>
        </w:rPr>
        <w:t>2019</w:t>
      </w:r>
      <w:r>
        <w:rPr>
          <w:rFonts w:hint="eastAsia" w:ascii="方正小标宋简体" w:hAnsi="Times New Roman" w:eastAsia="方正小标宋简体"/>
          <w:sz w:val="36"/>
          <w:szCs w:val="36"/>
        </w:rPr>
        <w:t>年度新乡市退役军人事务局预算基本情况说明</w:t>
      </w:r>
    </w:p>
    <w:p>
      <w:pPr>
        <w:kinsoku w:val="0"/>
        <w:overflowPunct w:val="0"/>
        <w:adjustRightInd w:val="0"/>
        <w:snapToGrid w:val="0"/>
        <w:spacing w:line="360" w:lineRule="auto"/>
        <w:ind w:left="101" w:right="3569" w:firstLine="640" w:firstLineChars="200"/>
        <w:rPr>
          <w:rFonts w:ascii="仿宋_GB2312" w:hAnsi="Times New Roman" w:eastAsia="仿宋_GB2312"/>
          <w:sz w:val="32"/>
          <w:szCs w:val="32"/>
        </w:rPr>
      </w:pPr>
    </w:p>
    <w:p>
      <w:pPr>
        <w:kinsoku w:val="0"/>
        <w:overflowPunct w:val="0"/>
        <w:adjustRightInd w:val="0"/>
        <w:snapToGrid w:val="0"/>
        <w:spacing w:line="360" w:lineRule="auto"/>
        <w:ind w:left="-142" w:right="51" w:firstLine="39" w:firstLineChars="7"/>
        <w:jc w:val="center"/>
        <w:rPr>
          <w:rFonts w:ascii="黑体" w:hAnsi="Times New Roman" w:eastAsia="黑体" w:cs="黑体"/>
          <w:sz w:val="56"/>
          <w:szCs w:val="56"/>
        </w:rPr>
      </w:pPr>
      <w:r>
        <w:rPr>
          <w:rFonts w:hint="eastAsia" w:ascii="黑体" w:hAnsi="Times New Roman" w:eastAsia="黑体" w:cs="黑体"/>
          <w:sz w:val="56"/>
          <w:szCs w:val="56"/>
        </w:rPr>
        <w:t>目</w:t>
      </w:r>
      <w:r>
        <w:rPr>
          <w:rFonts w:ascii="黑体" w:hAnsi="Times New Roman" w:eastAsia="黑体" w:cs="黑体"/>
          <w:spacing w:val="2"/>
          <w:sz w:val="56"/>
          <w:szCs w:val="56"/>
        </w:rPr>
        <w:t xml:space="preserve"> </w:t>
      </w:r>
      <w:r>
        <w:rPr>
          <w:rFonts w:hint="eastAsia" w:ascii="黑体" w:hAnsi="Times New Roman" w:eastAsia="黑体" w:cs="黑体"/>
          <w:sz w:val="56"/>
          <w:szCs w:val="56"/>
        </w:rPr>
        <w:t>录</w:t>
      </w:r>
    </w:p>
    <w:p>
      <w:pPr>
        <w:kinsoku w:val="0"/>
        <w:overflowPunct w:val="0"/>
        <w:adjustRightInd w:val="0"/>
        <w:snapToGrid w:val="0"/>
        <w:spacing w:line="360" w:lineRule="auto"/>
        <w:ind w:right="3569" w:firstLine="640" w:firstLineChars="200"/>
        <w:rPr>
          <w:rFonts w:ascii="黑体" w:hAnsi="Times New Roman" w:eastAsia="黑体" w:cs="黑体"/>
          <w:w w:val="99"/>
          <w:sz w:val="32"/>
          <w:szCs w:val="32"/>
        </w:rPr>
      </w:pPr>
      <w:r>
        <w:rPr>
          <w:rFonts w:hint="eastAsia" w:ascii="黑体" w:hAnsi="Times New Roman" w:eastAsia="黑体" w:cs="黑体"/>
          <w:sz w:val="32"/>
          <w:szCs w:val="32"/>
        </w:rPr>
        <w:t>第一部分</w:t>
      </w:r>
      <w:r>
        <w:rPr>
          <w:rFonts w:ascii="黑体" w:hAnsi="Times New Roman" w:eastAsia="黑体" w:cs="黑体"/>
          <w:sz w:val="32"/>
          <w:szCs w:val="32"/>
        </w:rPr>
        <w:t xml:space="preserve"> </w:t>
      </w:r>
      <w:r>
        <w:rPr>
          <w:rFonts w:hint="eastAsia" w:ascii="黑体" w:hAnsi="黑体" w:eastAsia="黑体"/>
          <w:sz w:val="32"/>
          <w:szCs w:val="32"/>
        </w:rPr>
        <w:t>新乡市退役军人事务局概况</w:t>
      </w:r>
    </w:p>
    <w:p>
      <w:pPr>
        <w:kinsoku w:val="0"/>
        <w:overflowPunct w:val="0"/>
        <w:adjustRightInd w:val="0"/>
        <w:snapToGrid w:val="0"/>
        <w:spacing w:line="360" w:lineRule="auto"/>
        <w:ind w:right="84" w:firstLine="960" w:firstLineChars="300"/>
        <w:jc w:val="left"/>
        <w:rPr>
          <w:rFonts w:ascii="华文楷体" w:hAnsi="华文楷体" w:eastAsia="华文楷体" w:cs="仿宋_GB2312"/>
          <w:sz w:val="32"/>
          <w:szCs w:val="32"/>
        </w:rPr>
      </w:pPr>
      <w:r>
        <w:rPr>
          <w:rFonts w:hint="eastAsia" w:ascii="仿宋_GB2312" w:hAnsi="Times New Roman" w:eastAsia="仿宋_GB2312" w:cs="仿宋_GB2312"/>
          <w:sz w:val="32"/>
          <w:szCs w:val="32"/>
        </w:rPr>
        <w:t>一、主要职能</w:t>
      </w:r>
    </w:p>
    <w:p>
      <w:pPr>
        <w:kinsoku w:val="0"/>
        <w:overflowPunct w:val="0"/>
        <w:adjustRightInd w:val="0"/>
        <w:snapToGrid w:val="0"/>
        <w:spacing w:line="360" w:lineRule="auto"/>
        <w:ind w:right="84" w:firstLine="960" w:firstLineChars="300"/>
        <w:jc w:val="left"/>
        <w:rPr>
          <w:rFonts w:ascii="华文楷体" w:hAnsi="华文楷体" w:eastAsia="华文楷体" w:cs="仿宋_GB2312"/>
          <w:sz w:val="32"/>
          <w:szCs w:val="32"/>
        </w:rPr>
      </w:pPr>
      <w:r>
        <w:rPr>
          <w:rFonts w:hint="eastAsia" w:ascii="仿宋_GB2312" w:hAnsi="Times New Roman" w:eastAsia="仿宋_GB2312" w:cs="仿宋_GB2312"/>
          <w:sz w:val="32"/>
          <w:szCs w:val="32"/>
        </w:rPr>
        <w:t>二、部门预算单位构成</w:t>
      </w:r>
    </w:p>
    <w:p>
      <w:pPr>
        <w:kinsoku w:val="0"/>
        <w:overflowPunct w:val="0"/>
        <w:adjustRightInd w:val="0"/>
        <w:snapToGrid w:val="0"/>
        <w:spacing w:line="360" w:lineRule="auto"/>
        <w:ind w:right="84" w:firstLine="960" w:firstLineChars="300"/>
        <w:jc w:val="left"/>
        <w:rPr>
          <w:rFonts w:ascii="仿宋" w:hAnsi="仿宋" w:eastAsia="仿宋" w:cs="仿宋_GB2312"/>
          <w:sz w:val="32"/>
          <w:szCs w:val="32"/>
        </w:rPr>
      </w:pPr>
      <w:r>
        <w:rPr>
          <w:rFonts w:hint="eastAsia" w:ascii="仿宋" w:hAnsi="仿宋" w:eastAsia="仿宋" w:cs="仿宋_GB2312"/>
          <w:sz w:val="32"/>
          <w:szCs w:val="32"/>
        </w:rPr>
        <w:t>三、部门人员编制总体情况。</w:t>
      </w:r>
    </w:p>
    <w:p>
      <w:pPr>
        <w:kinsoku w:val="0"/>
        <w:overflowPunct w:val="0"/>
        <w:adjustRightInd w:val="0"/>
        <w:snapToGrid w:val="0"/>
        <w:spacing w:line="360" w:lineRule="auto"/>
        <w:ind w:right="26" w:firstLine="640" w:firstLineChars="200"/>
        <w:rPr>
          <w:rFonts w:ascii="黑体" w:hAnsi="Times New Roman" w:eastAsia="黑体" w:cs="黑体"/>
          <w:w w:val="99"/>
          <w:sz w:val="32"/>
          <w:szCs w:val="32"/>
        </w:rPr>
      </w:pPr>
      <w:r>
        <w:rPr>
          <w:rFonts w:hint="eastAsia" w:ascii="黑体" w:hAnsi="Times New Roman" w:eastAsia="黑体" w:cs="黑体"/>
          <w:sz w:val="32"/>
          <w:szCs w:val="32"/>
        </w:rPr>
        <w:t>第二部分</w:t>
      </w:r>
      <w:r>
        <w:rPr>
          <w:rFonts w:ascii="黑体" w:hAnsi="Times New Roman" w:eastAsia="黑体" w:cs="黑体"/>
          <w:sz w:val="32"/>
          <w:szCs w:val="32"/>
        </w:rPr>
        <w:t xml:space="preserve"> </w:t>
      </w:r>
      <w:r>
        <w:rPr>
          <w:rFonts w:hint="eastAsia" w:ascii="黑体" w:hAnsi="Times New Roman" w:eastAsia="黑体" w:cs="黑体"/>
          <w:spacing w:val="-38"/>
          <w:sz w:val="32"/>
          <w:szCs w:val="32"/>
        </w:rPr>
        <w:t>新乡市退役军人事务局</w:t>
      </w:r>
      <w:r>
        <w:rPr>
          <w:rFonts w:ascii="黑体" w:hAnsi="Times New Roman" w:eastAsia="黑体" w:cs="黑体"/>
          <w:sz w:val="32"/>
          <w:szCs w:val="32"/>
        </w:rPr>
        <w:t>2019</w:t>
      </w:r>
      <w:r>
        <w:rPr>
          <w:rFonts w:ascii="黑体" w:hAnsi="Times New Roman" w:eastAsia="黑体" w:cs="黑体"/>
          <w:spacing w:val="-119"/>
          <w:sz w:val="32"/>
          <w:szCs w:val="32"/>
        </w:rPr>
        <w:t xml:space="preserve"> </w:t>
      </w:r>
      <w:r>
        <w:rPr>
          <w:rFonts w:hint="eastAsia" w:ascii="黑体" w:hAnsi="Times New Roman" w:eastAsia="黑体" w:cs="黑体"/>
          <w:sz w:val="32"/>
          <w:szCs w:val="32"/>
        </w:rPr>
        <w:t>年度部门预算情况说明</w:t>
      </w:r>
      <w:r>
        <w:rPr>
          <w:rFonts w:ascii="黑体" w:hAnsi="Times New Roman" w:eastAsia="黑体" w:cs="黑体"/>
          <w:w w:val="99"/>
          <w:sz w:val="32"/>
          <w:szCs w:val="32"/>
        </w:rPr>
        <w:t xml:space="preserve"> </w:t>
      </w:r>
    </w:p>
    <w:p>
      <w:pPr>
        <w:kinsoku w:val="0"/>
        <w:overflowPunct w:val="0"/>
        <w:adjustRightInd w:val="0"/>
        <w:snapToGrid w:val="0"/>
        <w:spacing w:line="360" w:lineRule="auto"/>
        <w:ind w:right="521" w:firstLine="640" w:firstLineChars="200"/>
        <w:rPr>
          <w:rFonts w:ascii="黑体" w:hAnsi="Times New Roman" w:eastAsia="黑体" w:cs="黑体"/>
          <w:sz w:val="32"/>
          <w:szCs w:val="32"/>
        </w:rPr>
      </w:pPr>
      <w:r>
        <w:rPr>
          <w:rFonts w:hint="eastAsia" w:ascii="黑体" w:hAnsi="Times New Roman" w:eastAsia="黑体" w:cs="黑体"/>
          <w:sz w:val="32"/>
          <w:szCs w:val="32"/>
        </w:rPr>
        <w:t>第三部分</w:t>
      </w:r>
      <w:r>
        <w:rPr>
          <w:rFonts w:ascii="黑体" w:hAnsi="Times New Roman" w:eastAsia="黑体" w:cs="黑体"/>
          <w:spacing w:val="-32"/>
          <w:sz w:val="32"/>
          <w:szCs w:val="32"/>
        </w:rPr>
        <w:t xml:space="preserve"> </w:t>
      </w:r>
      <w:r>
        <w:rPr>
          <w:rFonts w:hint="eastAsia" w:ascii="黑体" w:hAnsi="Times New Roman" w:eastAsia="黑体" w:cs="黑体"/>
          <w:sz w:val="32"/>
          <w:szCs w:val="32"/>
        </w:rPr>
        <w:t>名词解释</w:t>
      </w:r>
    </w:p>
    <w:p>
      <w:pPr>
        <w:kinsoku w:val="0"/>
        <w:overflowPunct w:val="0"/>
        <w:adjustRightInd w:val="0"/>
        <w:snapToGrid w:val="0"/>
        <w:spacing w:line="360" w:lineRule="auto"/>
        <w:ind w:firstLine="640" w:firstLineChars="200"/>
        <w:rPr>
          <w:rFonts w:ascii="黑体" w:hAnsi="Times New Roman" w:eastAsia="黑体" w:cs="黑体"/>
          <w:sz w:val="32"/>
          <w:szCs w:val="32"/>
        </w:rPr>
      </w:pPr>
      <w:r>
        <w:rPr>
          <w:rFonts w:hint="eastAsia" w:ascii="黑体" w:hAnsi="Times New Roman" w:eastAsia="黑体" w:cs="黑体"/>
          <w:sz w:val="32"/>
          <w:szCs w:val="32"/>
        </w:rPr>
        <w:t>附件：新乡市退役军人事务局</w:t>
      </w:r>
      <w:r>
        <w:rPr>
          <w:rFonts w:ascii="黑体" w:hAnsi="Times New Roman" w:eastAsia="黑体" w:cs="黑体"/>
          <w:sz w:val="32"/>
          <w:szCs w:val="32"/>
        </w:rPr>
        <w:t>2019</w:t>
      </w:r>
      <w:r>
        <w:rPr>
          <w:rFonts w:ascii="黑体" w:hAnsi="Times New Roman" w:eastAsia="黑体" w:cs="黑体"/>
          <w:spacing w:val="-116"/>
          <w:sz w:val="32"/>
          <w:szCs w:val="32"/>
        </w:rPr>
        <w:t xml:space="preserve"> </w:t>
      </w:r>
      <w:r>
        <w:rPr>
          <w:rFonts w:hint="eastAsia" w:ascii="黑体" w:hAnsi="Times New Roman" w:eastAsia="黑体" w:cs="黑体"/>
          <w:sz w:val="32"/>
          <w:szCs w:val="32"/>
        </w:rPr>
        <w:t>年度部门预算表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六、</w:t>
      </w:r>
      <w:r>
        <w:rPr>
          <w:rFonts w:hint="eastAsia" w:ascii="仿宋_GB2312" w:eastAsia="仿宋_GB2312"/>
          <w:sz w:val="32"/>
          <w:szCs w:val="32"/>
        </w:rPr>
        <w:t>一般公共预算基本支出情况表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eastAsia="仿宋_GB2312"/>
          <w:sz w:val="32"/>
          <w:szCs w:val="32"/>
        </w:rPr>
        <w:t>七、一般公共预算项目支出情况表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八、一般公共预算部门管理项目情况表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九、</w:t>
      </w:r>
      <w:r>
        <w:rPr>
          <w:rFonts w:hint="eastAsia" w:ascii="仿宋_GB2312" w:eastAsia="仿宋_GB2312"/>
          <w:sz w:val="32"/>
          <w:szCs w:val="32"/>
        </w:rPr>
        <w:t>一般公共预算“三公”经费支出情况表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十、</w:t>
      </w:r>
      <w:r>
        <w:rPr>
          <w:rFonts w:hint="eastAsia" w:ascii="仿宋_GB2312" w:eastAsia="仿宋_GB2312"/>
          <w:sz w:val="32"/>
          <w:szCs w:val="32"/>
        </w:rPr>
        <w:t>政府性基金支出情况表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eastAsia="仿宋_GB2312"/>
          <w:sz w:val="32"/>
          <w:szCs w:val="32"/>
        </w:rPr>
        <w:t>十一、政府性基金预算项目支出情况表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eastAsia="仿宋_GB2312"/>
          <w:sz w:val="32"/>
          <w:szCs w:val="32"/>
        </w:rPr>
        <w:t>十二、政府性基金预算部门管理项目情况表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eastAsia="仿宋_GB2312"/>
          <w:sz w:val="32"/>
          <w:szCs w:val="32"/>
        </w:rPr>
        <w:t>十三、机关运行经费情况表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eastAsia="仿宋_GB2312"/>
          <w:sz w:val="32"/>
          <w:szCs w:val="32"/>
        </w:rPr>
        <w:t>十四、政府采购及资产购置情况表</w:t>
      </w:r>
    </w:p>
    <w:p>
      <w:pPr>
        <w:kinsoku w:val="0"/>
        <w:overflowPunct w:val="0"/>
        <w:adjustRightInd w:val="0"/>
        <w:snapToGrid w:val="0"/>
        <w:spacing w:line="360" w:lineRule="auto"/>
        <w:ind w:right="51" w:firstLine="960" w:firstLineChars="300"/>
        <w:jc w:val="left"/>
        <w:rPr>
          <w:rFonts w:ascii="仿宋_GB2312" w:eastAsia="仿宋_GB2312"/>
          <w:sz w:val="32"/>
          <w:szCs w:val="32"/>
        </w:rPr>
      </w:pPr>
      <w:r>
        <w:rPr>
          <w:rFonts w:hint="eastAsia" w:ascii="仿宋_GB2312" w:eastAsia="仿宋_GB2312"/>
          <w:sz w:val="32"/>
          <w:szCs w:val="32"/>
        </w:rPr>
        <w:t>十五、政府购买服务计划表</w:t>
      </w:r>
    </w:p>
    <w:p>
      <w:pPr>
        <w:kinsoku w:val="0"/>
        <w:overflowPunct w:val="0"/>
        <w:adjustRightInd w:val="0"/>
        <w:snapToGrid w:val="0"/>
        <w:spacing w:line="360" w:lineRule="auto"/>
        <w:ind w:right="51"/>
        <w:jc w:val="left"/>
        <w:rPr>
          <w:rFonts w:ascii="仿宋_GB2312" w:hAnsi="Times New Roman" w:eastAsia="仿宋_GB2312" w:cs="仿宋_GB2312"/>
          <w:sz w:val="32"/>
          <w:szCs w:val="32"/>
        </w:rPr>
      </w:pPr>
    </w:p>
    <w:p>
      <w:pPr>
        <w:kinsoku w:val="0"/>
        <w:overflowPunct w:val="0"/>
        <w:adjustRightInd w:val="0"/>
        <w:snapToGrid w:val="0"/>
        <w:spacing w:line="360" w:lineRule="auto"/>
        <w:ind w:left="101" w:right="521" w:firstLine="640" w:firstLineChars="200"/>
        <w:rPr>
          <w:rFonts w:ascii="黑体" w:hAnsi="Times New Roman" w:eastAsia="黑体" w:cs="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第一部分</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新乡市退役军人事务局概况</w:t>
      </w: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一、新乡市退役军人事务局主要职责</w:t>
      </w:r>
    </w:p>
    <w:p>
      <w:pPr>
        <w:spacing w:line="570" w:lineRule="exact"/>
        <w:ind w:firstLine="684" w:firstLineChars="200"/>
        <w:rPr>
          <w:rFonts w:eastAsia="仿宋_GB2312"/>
          <w:spacing w:val="11"/>
          <w:sz w:val="32"/>
          <w:szCs w:val="32"/>
        </w:rPr>
      </w:pPr>
      <w:r>
        <w:rPr>
          <w:rFonts w:hint="eastAsia" w:eastAsia="仿宋_GB2312"/>
          <w:spacing w:val="11"/>
          <w:sz w:val="32"/>
          <w:szCs w:val="32"/>
        </w:rPr>
        <w:t>（一）贯彻执行国家、省退役军人保障法律、法规、政策，拟订全市退役军人权益维护和保障事业发展规划、政策，起草全市退役军人保障规范性文件草案，并组织实施和监督检查。</w:t>
      </w:r>
    </w:p>
    <w:p>
      <w:pPr>
        <w:spacing w:line="570" w:lineRule="exact"/>
        <w:ind w:firstLine="684" w:firstLineChars="200"/>
        <w:rPr>
          <w:rFonts w:eastAsia="仿宋_GB2312"/>
          <w:spacing w:val="11"/>
          <w:sz w:val="32"/>
          <w:szCs w:val="32"/>
        </w:rPr>
      </w:pPr>
      <w:r>
        <w:rPr>
          <w:rFonts w:hint="eastAsia" w:eastAsia="仿宋_GB2312"/>
          <w:spacing w:val="11"/>
          <w:sz w:val="32"/>
          <w:szCs w:val="32"/>
        </w:rPr>
        <w:t>（二）负责军队转业干部、复员干部、离休退休干部、退役士兵和无军籍退休退职职工的移交安置工作和自主择业、就业退役军人服务管理工作。</w:t>
      </w:r>
    </w:p>
    <w:p>
      <w:pPr>
        <w:spacing w:line="570" w:lineRule="exact"/>
        <w:ind w:firstLine="684" w:firstLineChars="200"/>
        <w:rPr>
          <w:rFonts w:eastAsia="仿宋_GB2312"/>
          <w:spacing w:val="11"/>
          <w:sz w:val="32"/>
          <w:szCs w:val="32"/>
        </w:rPr>
      </w:pPr>
      <w:r>
        <w:rPr>
          <w:rFonts w:hint="eastAsia" w:eastAsia="仿宋_GB2312"/>
          <w:spacing w:val="11"/>
          <w:sz w:val="32"/>
          <w:szCs w:val="32"/>
        </w:rPr>
        <w:t>（三）组织指导退役军人教育培训工作，协调扶持退役军人和随军随调家属就业创业。</w:t>
      </w:r>
    </w:p>
    <w:p>
      <w:pPr>
        <w:spacing w:line="570" w:lineRule="exact"/>
        <w:ind w:firstLine="684" w:firstLineChars="200"/>
        <w:rPr>
          <w:rFonts w:eastAsia="仿宋_GB2312"/>
          <w:spacing w:val="11"/>
          <w:sz w:val="32"/>
          <w:szCs w:val="32"/>
        </w:rPr>
      </w:pPr>
      <w:r>
        <w:rPr>
          <w:rFonts w:hint="eastAsia" w:eastAsia="仿宋_GB2312"/>
          <w:spacing w:val="11"/>
          <w:sz w:val="32"/>
          <w:szCs w:val="32"/>
        </w:rPr>
        <w:t>（四）会同有关部门制定退役军人特殊保障政策并组织落实。</w:t>
      </w:r>
    </w:p>
    <w:p>
      <w:pPr>
        <w:spacing w:line="570" w:lineRule="exact"/>
        <w:ind w:firstLine="684" w:firstLineChars="200"/>
        <w:rPr>
          <w:rFonts w:eastAsia="仿宋_GB2312"/>
          <w:spacing w:val="11"/>
          <w:sz w:val="32"/>
          <w:szCs w:val="32"/>
        </w:rPr>
      </w:pPr>
      <w:r>
        <w:rPr>
          <w:rFonts w:hint="eastAsia" w:eastAsia="仿宋_GB2312"/>
          <w:spacing w:val="11"/>
          <w:sz w:val="32"/>
          <w:szCs w:val="32"/>
        </w:rPr>
        <w:t>（五）组织协调落实移交地方的离休退休军人、符合条件的其他退役军人和无军籍退休退职职工的住房保障工作，以及退役军人医疗保障、社会保险等待遇保障工作。</w:t>
      </w:r>
    </w:p>
    <w:p>
      <w:pPr>
        <w:spacing w:line="570" w:lineRule="exact"/>
        <w:ind w:firstLine="684" w:firstLineChars="200"/>
        <w:rPr>
          <w:rFonts w:eastAsia="仿宋_GB2312"/>
          <w:spacing w:val="11"/>
          <w:sz w:val="32"/>
          <w:szCs w:val="32"/>
        </w:rPr>
      </w:pPr>
      <w:r>
        <w:rPr>
          <w:rFonts w:hint="eastAsia" w:eastAsia="仿宋_GB2312"/>
          <w:spacing w:val="11"/>
          <w:sz w:val="32"/>
          <w:szCs w:val="32"/>
        </w:rPr>
        <w:t>（六）组织指导伤病残退役军人服务管理和抚恤工作，制定有关退役军人医疗、疗养、养老等机构的规划政策并指导实施。承担不适宜继续服役的伤病残军人相关工作。组织指导军供服务保障工作。</w:t>
      </w:r>
    </w:p>
    <w:p>
      <w:pPr>
        <w:spacing w:line="570" w:lineRule="exact"/>
        <w:ind w:firstLine="684" w:firstLineChars="200"/>
        <w:rPr>
          <w:rFonts w:eastAsia="仿宋_GB2312"/>
          <w:spacing w:val="11"/>
          <w:sz w:val="32"/>
          <w:szCs w:val="32"/>
          <w:u w:val="single"/>
        </w:rPr>
      </w:pPr>
      <w:r>
        <w:rPr>
          <w:rFonts w:hint="eastAsia" w:eastAsia="仿宋_GB2312"/>
          <w:spacing w:val="11"/>
          <w:sz w:val="32"/>
          <w:szCs w:val="32"/>
        </w:rPr>
        <w:t>（七）组织指导全市拥军优属工作。负责现役军人、退役军人、军队文职人员和军属优待、抚恤等工作，拟订国民党抗战老兵等有关人员优待政策并指导实施。</w:t>
      </w:r>
    </w:p>
    <w:p>
      <w:pPr>
        <w:spacing w:line="570" w:lineRule="exact"/>
        <w:ind w:firstLine="684" w:firstLineChars="200"/>
        <w:rPr>
          <w:rFonts w:eastAsia="仿宋_GB2312"/>
          <w:spacing w:val="11"/>
          <w:sz w:val="32"/>
          <w:szCs w:val="32"/>
        </w:rPr>
      </w:pPr>
      <w:r>
        <w:rPr>
          <w:rFonts w:hint="eastAsia" w:eastAsia="仿宋_GB2312"/>
          <w:spacing w:val="11"/>
          <w:sz w:val="32"/>
          <w:szCs w:val="32"/>
        </w:rPr>
        <w:t>（八）负责烈士及退役军人荣誉奖励、军人公墓管理维护、纪念活动等工作，依法承担英雄烈士保护相关工作，总结表彰和宣扬退役军人、退役军人工作单位和个人先进典型事迹。</w:t>
      </w:r>
    </w:p>
    <w:p>
      <w:pPr>
        <w:spacing w:line="570" w:lineRule="exact"/>
        <w:ind w:firstLine="684" w:firstLineChars="200"/>
        <w:rPr>
          <w:rFonts w:eastAsia="仿宋_GB2312"/>
          <w:spacing w:val="11"/>
          <w:sz w:val="32"/>
          <w:szCs w:val="32"/>
        </w:rPr>
      </w:pPr>
      <w:r>
        <w:rPr>
          <w:rFonts w:hint="eastAsia" w:eastAsia="仿宋_GB2312"/>
          <w:spacing w:val="11"/>
          <w:sz w:val="32"/>
          <w:szCs w:val="32"/>
        </w:rPr>
        <w:t>（九）指导并监督检查退役军人相关法律法规和政策措施的落实，组织开展退役军人权益维护和有关人员的帮扶援助工作。</w:t>
      </w:r>
    </w:p>
    <w:p>
      <w:pPr>
        <w:spacing w:line="570" w:lineRule="exact"/>
        <w:ind w:firstLine="684" w:firstLineChars="200"/>
        <w:rPr>
          <w:rFonts w:eastAsia="仿宋_GB2312"/>
          <w:spacing w:val="11"/>
          <w:sz w:val="32"/>
          <w:szCs w:val="32"/>
        </w:rPr>
      </w:pPr>
      <w:r>
        <w:rPr>
          <w:rFonts w:hint="eastAsia" w:eastAsia="仿宋_GB2312"/>
          <w:spacing w:val="11"/>
          <w:sz w:val="32"/>
          <w:szCs w:val="32"/>
        </w:rPr>
        <w:t>（十）完成新乡市委、市政府交办的其他任务。</w:t>
      </w:r>
    </w:p>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二、新乡市退役军人事务局预算单位构成</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新乡市退役军人事</w:t>
      </w:r>
      <w:r>
        <w:rPr>
          <w:rFonts w:hint="eastAsia" w:ascii="黑体" w:hAnsi="黑体" w:eastAsia="黑体"/>
          <w:sz w:val="32"/>
          <w:szCs w:val="32"/>
        </w:rPr>
        <w:t>务</w:t>
      </w:r>
      <w:r>
        <w:rPr>
          <w:rFonts w:hint="eastAsia" w:ascii="仿宋_GB2312" w:eastAsia="仿宋_GB2312"/>
          <w:sz w:val="32"/>
          <w:szCs w:val="32"/>
        </w:rPr>
        <w:t>局部门预算包括局机关本级预算。（由于机构改革暂未完成，将归属我局管理的单位，还在原归属单位上报汇总</w:t>
      </w:r>
      <w:r>
        <w:rPr>
          <w:rFonts w:ascii="仿宋_GB2312" w:eastAsia="仿宋_GB2312"/>
          <w:sz w:val="32"/>
          <w:szCs w:val="32"/>
        </w:rPr>
        <w:t>2019</w:t>
      </w:r>
      <w:r>
        <w:rPr>
          <w:rFonts w:hint="eastAsia" w:ascii="仿宋_GB2312" w:eastAsia="仿宋_GB2312"/>
          <w:sz w:val="32"/>
          <w:szCs w:val="32"/>
        </w:rPr>
        <w:t>年预算。）</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三、部门人员编制总体情况</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由于机构改革暂未完成，三定方案还未公布，故我单位编制数暂未定。</w:t>
      </w:r>
    </w:p>
    <w:p>
      <w:pPr>
        <w:adjustRightInd w:val="0"/>
        <w:snapToGrid w:val="0"/>
        <w:spacing w:line="360" w:lineRule="auto"/>
        <w:ind w:firstLine="3200" w:firstLineChars="1000"/>
        <w:rPr>
          <w:rFonts w:ascii="黑体" w:hAnsi="Times New Roman" w:eastAsia="黑体" w:cs="黑体"/>
          <w:sz w:val="32"/>
          <w:szCs w:val="32"/>
        </w:rPr>
      </w:pPr>
      <w:r>
        <w:rPr>
          <w:rFonts w:hint="eastAsia" w:ascii="黑体" w:hAnsi="Times New Roman" w:eastAsia="黑体" w:cs="黑体"/>
          <w:sz w:val="32"/>
          <w:szCs w:val="32"/>
        </w:rPr>
        <w:t>第二部分</w:t>
      </w:r>
    </w:p>
    <w:p>
      <w:pPr>
        <w:adjustRightInd w:val="0"/>
        <w:snapToGrid w:val="0"/>
        <w:spacing w:line="360" w:lineRule="auto"/>
        <w:jc w:val="center"/>
        <w:rPr>
          <w:rFonts w:ascii="黑体" w:hAnsi="Times New Roman" w:eastAsia="黑体" w:cs="黑体"/>
          <w:spacing w:val="-38"/>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新乡市退役军人事务局</w:t>
      </w:r>
      <w:r>
        <w:rPr>
          <w:rFonts w:ascii="黑体" w:hAnsi="Times New Roman" w:eastAsia="黑体" w:cs="黑体"/>
          <w:sz w:val="32"/>
          <w:szCs w:val="32"/>
        </w:rPr>
        <w:t>2019</w:t>
      </w:r>
      <w:r>
        <w:rPr>
          <w:rFonts w:hint="eastAsia" w:ascii="黑体" w:hAnsi="Times New Roman" w:eastAsia="黑体" w:cs="黑体"/>
          <w:sz w:val="32"/>
          <w:szCs w:val="32"/>
        </w:rPr>
        <w:t>年度部门预算情况说明</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一、收入支出预算总体情况说明</w:t>
      </w:r>
    </w:p>
    <w:p>
      <w:pPr>
        <w:adjustRightInd w:val="0"/>
        <w:snapToGrid w:val="0"/>
        <w:spacing w:line="360" w:lineRule="auto"/>
        <w:ind w:firstLine="640" w:firstLineChars="200"/>
        <w:rPr>
          <w:rFonts w:ascii="仿宋_GB2312" w:hAnsi="仿宋" w:eastAsia="仿宋_GB2312" w:cs="仿宋"/>
          <w:color w:val="000000"/>
          <w:kern w:val="1"/>
          <w:sz w:val="32"/>
          <w:szCs w:val="32"/>
        </w:rPr>
      </w:pPr>
      <w:r>
        <w:rPr>
          <w:rFonts w:hint="eastAsia" w:ascii="仿宋_GB2312" w:eastAsia="仿宋_GB2312"/>
          <w:color w:val="000000"/>
          <w:sz w:val="32"/>
          <w:szCs w:val="32"/>
        </w:rPr>
        <w:t>新乡市退役军人事务局</w:t>
      </w:r>
      <w:r>
        <w:rPr>
          <w:rFonts w:ascii="仿宋_GB2312" w:eastAsia="仿宋_GB2312"/>
          <w:color w:val="000000"/>
          <w:sz w:val="32"/>
          <w:szCs w:val="32"/>
        </w:rPr>
        <w:t>2</w:t>
      </w:r>
      <w:r>
        <w:rPr>
          <w:rFonts w:ascii="仿宋_GB2312" w:hAnsi="宋体" w:eastAsia="仿宋_GB2312" w:cs="Courier New"/>
          <w:color w:val="000000"/>
          <w:sz w:val="32"/>
          <w:szCs w:val="32"/>
        </w:rPr>
        <w:t>019</w:t>
      </w:r>
      <w:r>
        <w:rPr>
          <w:rFonts w:hint="eastAsia" w:ascii="仿宋_GB2312" w:hAnsi="宋体" w:eastAsia="仿宋_GB2312" w:cs="Courier New"/>
          <w:color w:val="000000"/>
          <w:sz w:val="32"/>
          <w:szCs w:val="32"/>
        </w:rPr>
        <w:t>年收入总计</w:t>
      </w:r>
      <w:r>
        <w:rPr>
          <w:rFonts w:ascii="仿宋_GB2312" w:hAnsi="宋体" w:eastAsia="仿宋_GB2312" w:cs="Courier New"/>
          <w:color w:val="000000"/>
          <w:sz w:val="32"/>
          <w:szCs w:val="32"/>
        </w:rPr>
        <w:t>7608.94</w:t>
      </w:r>
      <w:r>
        <w:rPr>
          <w:rFonts w:hint="eastAsia" w:ascii="仿宋_GB2312" w:hAnsi="宋体" w:eastAsia="仿宋_GB2312" w:cs="Courier New"/>
          <w:color w:val="000000"/>
          <w:sz w:val="32"/>
          <w:szCs w:val="32"/>
        </w:rPr>
        <w:t>万元，支出总计</w:t>
      </w:r>
      <w:r>
        <w:rPr>
          <w:rFonts w:ascii="仿宋_GB2312" w:eastAsia="仿宋_GB2312"/>
          <w:color w:val="000000"/>
          <w:sz w:val="32"/>
          <w:szCs w:val="32"/>
        </w:rPr>
        <w:t>7608.94</w:t>
      </w:r>
      <w:r>
        <w:rPr>
          <w:rFonts w:hint="eastAsia" w:ascii="仿宋_GB2312" w:hAnsi="宋体" w:eastAsia="仿宋_GB2312" w:cs="Courier New"/>
          <w:color w:val="000000"/>
          <w:sz w:val="32"/>
          <w:szCs w:val="32"/>
        </w:rPr>
        <w:t>万元，</w:t>
      </w:r>
      <w:r>
        <w:rPr>
          <w:rFonts w:ascii="仿宋_GB2312" w:hAnsi="仿宋" w:eastAsia="仿宋_GB2312" w:cs="仿宋"/>
          <w:color w:val="000000"/>
          <w:kern w:val="1"/>
          <w:sz w:val="32"/>
          <w:szCs w:val="32"/>
        </w:rPr>
        <w:t xml:space="preserve"> </w:t>
      </w:r>
    </w:p>
    <w:p>
      <w:pPr>
        <w:adjustRightInd w:val="0"/>
        <w:snapToGrid w:val="0"/>
        <w:spacing w:line="360" w:lineRule="auto"/>
        <w:ind w:firstLine="640" w:firstLineChars="200"/>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二、收入预算总体情况说明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年收入合计</w:t>
      </w:r>
      <w:r>
        <w:rPr>
          <w:rFonts w:ascii="仿宋_GB2312" w:hAnsi="宋体" w:eastAsia="仿宋_GB2312" w:cs="Courier New"/>
          <w:color w:val="000000"/>
          <w:sz w:val="32"/>
          <w:szCs w:val="32"/>
        </w:rPr>
        <w:t>7608.94</w:t>
      </w:r>
      <w:r>
        <w:rPr>
          <w:rFonts w:hint="eastAsia" w:ascii="仿宋_GB2312" w:hAnsi="宋体" w:eastAsia="仿宋_GB2312" w:cs="Courier New"/>
          <w:color w:val="000000"/>
          <w:sz w:val="32"/>
          <w:szCs w:val="32"/>
        </w:rPr>
        <w:t>万元，其中：一般公共预算</w:t>
      </w:r>
      <w:r>
        <w:rPr>
          <w:rFonts w:ascii="仿宋_GB2312" w:hAnsi="宋体" w:eastAsia="仿宋_GB2312" w:cs="Courier New"/>
          <w:color w:val="000000"/>
          <w:sz w:val="32"/>
          <w:szCs w:val="32"/>
        </w:rPr>
        <w:t>7608.94</w:t>
      </w:r>
      <w:r>
        <w:rPr>
          <w:rFonts w:hint="eastAsia" w:ascii="仿宋_GB2312" w:hAnsi="宋体" w:eastAsia="仿宋_GB2312" w:cs="Courier New"/>
          <w:color w:val="000000"/>
          <w:sz w:val="32"/>
          <w:szCs w:val="32"/>
        </w:rPr>
        <w:t>万元。</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三、支出预算总体情况说明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年支出合计</w:t>
      </w:r>
      <w:r>
        <w:rPr>
          <w:rFonts w:ascii="仿宋_GB2312" w:hAnsi="宋体" w:eastAsia="仿宋_GB2312" w:cs="Courier New"/>
          <w:color w:val="000000"/>
          <w:sz w:val="32"/>
          <w:szCs w:val="32"/>
        </w:rPr>
        <w:t>7608.94</w:t>
      </w:r>
      <w:r>
        <w:rPr>
          <w:rFonts w:hint="eastAsia" w:ascii="仿宋_GB2312" w:hAnsi="宋体" w:eastAsia="仿宋_GB2312" w:cs="Courier New"/>
          <w:color w:val="000000"/>
          <w:sz w:val="32"/>
          <w:szCs w:val="32"/>
        </w:rPr>
        <w:t>万元。</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四、财政拨款收入支出预算总体情况说明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年财政拨款收支预算</w:t>
      </w:r>
      <w:r>
        <w:rPr>
          <w:rFonts w:ascii="仿宋_GB2312" w:hAnsi="宋体" w:eastAsia="仿宋_GB2312" w:cs="Courier New"/>
          <w:color w:val="000000"/>
          <w:sz w:val="32"/>
          <w:szCs w:val="32"/>
        </w:rPr>
        <w:t>7608.94</w:t>
      </w:r>
      <w:r>
        <w:rPr>
          <w:rFonts w:hint="eastAsia" w:ascii="仿宋_GB2312" w:hAnsi="宋体" w:eastAsia="仿宋_GB2312" w:cs="Courier New"/>
          <w:color w:val="000000"/>
          <w:sz w:val="32"/>
          <w:szCs w:val="32"/>
        </w:rPr>
        <w:t>万元。</w:t>
      </w:r>
      <w:r>
        <w:rPr>
          <w:rFonts w:ascii="仿宋_GB2312" w:hAnsi="宋体" w:eastAsia="仿宋_GB2312" w:cs="Courier New"/>
          <w:color w:val="000000"/>
          <w:sz w:val="32"/>
          <w:szCs w:val="32"/>
        </w:rPr>
        <w:t xml:space="preserve"> </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五、一般公共预算支出预算情况说明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年一般公共预算支出年初预算为</w:t>
      </w:r>
      <w:r>
        <w:rPr>
          <w:rFonts w:ascii="仿宋_GB2312" w:hAnsi="宋体" w:eastAsia="仿宋_GB2312" w:cs="Courier New"/>
          <w:color w:val="000000"/>
          <w:sz w:val="32"/>
          <w:szCs w:val="32"/>
        </w:rPr>
        <w:t>7608.94</w:t>
      </w:r>
      <w:r>
        <w:rPr>
          <w:rFonts w:hint="eastAsia" w:ascii="仿宋_GB2312" w:hAnsi="宋体" w:eastAsia="仿宋_GB2312" w:cs="Courier New"/>
          <w:color w:val="000000"/>
          <w:sz w:val="32"/>
          <w:szCs w:val="32"/>
        </w:rPr>
        <w:t>万元。</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六、一般公共预算基本支出预算情况说明</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因我单位机购改革还未完成，所以没有人员及公用基本支出。</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七、一般公共预算项目支出情况说明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年，我单位无一般公共预算管理项目。</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八、一般公共预算管理项目情况</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bookmarkStart w:id="0" w:name="_Hlk2003598"/>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年，我单位无一般公共预算管理项目。</w:t>
      </w:r>
    </w:p>
    <w:bookmarkEnd w:id="0"/>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九、一般公共预算“三公”经费支出预算情况说明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年“三公”经费预算为</w:t>
      </w:r>
      <w:r>
        <w:rPr>
          <w:rFonts w:hint="eastAsia" w:ascii="仿宋_GB2312" w:hAnsi="宋体" w:eastAsia="仿宋_GB2312" w:cs="Courier New"/>
          <w:color w:val="000000"/>
          <w:sz w:val="32"/>
          <w:szCs w:val="32"/>
          <w:lang w:val="en-US" w:eastAsia="zh-CN"/>
        </w:rPr>
        <w:t>1.3</w:t>
      </w:r>
      <w:r>
        <w:rPr>
          <w:rFonts w:hint="eastAsia" w:ascii="仿宋_GB2312" w:hAnsi="宋体" w:eastAsia="仿宋_GB2312" w:cs="Courier New"/>
          <w:color w:val="000000"/>
          <w:sz w:val="32"/>
          <w:szCs w:val="32"/>
        </w:rPr>
        <w:t>万元。具体情况如下：</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（一）因公出国（境）费</w:t>
      </w:r>
      <w:r>
        <w:rPr>
          <w:rFonts w:ascii="仿宋_GB2312" w:hAnsi="宋体" w:eastAsia="仿宋_GB2312" w:cs="Courier New"/>
          <w:color w:val="000000"/>
          <w:sz w:val="32"/>
          <w:szCs w:val="32"/>
        </w:rPr>
        <w:t>0</w:t>
      </w:r>
      <w:r>
        <w:rPr>
          <w:rFonts w:hint="eastAsia" w:ascii="仿宋_GB2312" w:hAnsi="宋体" w:eastAsia="仿宋_GB2312" w:cs="Courier New"/>
          <w:color w:val="000000"/>
          <w:sz w:val="32"/>
          <w:szCs w:val="32"/>
        </w:rPr>
        <w:t>万元。</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（二）公务用车购置及运行费</w:t>
      </w:r>
      <w:r>
        <w:rPr>
          <w:rFonts w:hint="eastAsia" w:ascii="仿宋_GB2312" w:hAnsi="宋体" w:eastAsia="仿宋_GB2312" w:cs="Courier New"/>
          <w:color w:val="000000"/>
          <w:sz w:val="32"/>
          <w:szCs w:val="32"/>
          <w:lang w:val="en-US" w:eastAsia="zh-CN"/>
        </w:rPr>
        <w:t>0</w:t>
      </w:r>
      <w:r>
        <w:rPr>
          <w:rFonts w:hint="eastAsia" w:ascii="仿宋_GB2312" w:hAnsi="宋体" w:eastAsia="仿宋_GB2312" w:cs="Courier New"/>
          <w:color w:val="000000"/>
          <w:sz w:val="32"/>
          <w:szCs w:val="32"/>
        </w:rPr>
        <w:t>万元，其中公务用车购置费</w:t>
      </w:r>
      <w:r>
        <w:rPr>
          <w:rFonts w:ascii="仿宋_GB2312" w:hAnsi="宋体" w:eastAsia="仿宋_GB2312" w:cs="Courier New"/>
          <w:color w:val="000000"/>
          <w:sz w:val="32"/>
          <w:szCs w:val="32"/>
        </w:rPr>
        <w:t>0</w:t>
      </w:r>
      <w:r>
        <w:rPr>
          <w:rFonts w:hint="eastAsia" w:ascii="仿宋_GB2312" w:hAnsi="宋体" w:eastAsia="仿宋_GB2312" w:cs="Courier New"/>
          <w:color w:val="000000"/>
          <w:sz w:val="32"/>
          <w:szCs w:val="32"/>
        </w:rPr>
        <w:t>万元；公务用车运行维护费</w:t>
      </w:r>
      <w:r>
        <w:rPr>
          <w:rFonts w:hint="eastAsia" w:ascii="仿宋_GB2312" w:hAnsi="宋体" w:eastAsia="仿宋_GB2312" w:cs="Courier New"/>
          <w:color w:val="000000"/>
          <w:sz w:val="32"/>
          <w:szCs w:val="32"/>
          <w:lang w:val="en-US" w:eastAsia="zh-CN"/>
        </w:rPr>
        <w:t>0</w:t>
      </w:r>
      <w:r>
        <w:rPr>
          <w:rFonts w:hint="eastAsia" w:ascii="仿宋_GB2312" w:hAnsi="宋体" w:eastAsia="仿宋_GB2312" w:cs="Courier New"/>
          <w:color w:val="000000"/>
          <w:sz w:val="32"/>
          <w:szCs w:val="32"/>
        </w:rPr>
        <w:t>万元，主要用于开展工作所需公务用车的燃料费、过路过桥费等支出。</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（三）公务接待费</w:t>
      </w:r>
      <w:r>
        <w:rPr>
          <w:rFonts w:ascii="仿宋_GB2312" w:hAnsi="宋体" w:eastAsia="仿宋_GB2312" w:cs="Courier New"/>
          <w:color w:val="000000"/>
          <w:sz w:val="32"/>
          <w:szCs w:val="32"/>
        </w:rPr>
        <w:t>1.3</w:t>
      </w:r>
      <w:r>
        <w:rPr>
          <w:rFonts w:hint="eastAsia" w:ascii="仿宋_GB2312" w:hAnsi="宋体" w:eastAsia="仿宋_GB2312" w:cs="Courier New"/>
          <w:color w:val="000000"/>
          <w:sz w:val="32"/>
          <w:szCs w:val="32"/>
        </w:rPr>
        <w:t>万元，主要用于按规定开支的各类公务接待支出。</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十、政府性基金预算支出情况说明</w:t>
      </w:r>
      <w:bookmarkStart w:id="1" w:name="_GoBack"/>
      <w:bookmarkEnd w:id="1"/>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年无政府性基金预算支出。</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十一、政府性基金预算项目支出情况</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年无政府性基金预算支出。</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十二、政府性基金预算管理项目情况</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年无政府性基金预算支出。</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十三、机关运行经费支出情况</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新乡市</w:t>
      </w:r>
      <w:r>
        <w:rPr>
          <w:rFonts w:hint="eastAsia" w:ascii="仿宋_GB2312" w:eastAsia="仿宋_GB2312"/>
          <w:color w:val="000000"/>
          <w:sz w:val="32"/>
          <w:szCs w:val="32"/>
        </w:rPr>
        <w:t>退役军人事务</w:t>
      </w:r>
      <w:r>
        <w:rPr>
          <w:rFonts w:hint="eastAsia" w:ascii="仿宋_GB2312" w:hAnsi="宋体" w:eastAsia="仿宋_GB2312" w:cs="Courier New"/>
          <w:color w:val="000000"/>
          <w:sz w:val="32"/>
          <w:szCs w:val="32"/>
        </w:rPr>
        <w:t>局</w:t>
      </w: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年运行经费支出预算</w:t>
      </w:r>
      <w:r>
        <w:rPr>
          <w:rFonts w:ascii="仿宋_GB2312" w:hAnsi="宋体" w:eastAsia="仿宋_GB2312" w:cs="Courier New"/>
          <w:color w:val="000000"/>
          <w:sz w:val="32"/>
          <w:szCs w:val="32"/>
        </w:rPr>
        <w:t>7608.94</w:t>
      </w:r>
      <w:r>
        <w:rPr>
          <w:rFonts w:hint="eastAsia" w:ascii="仿宋_GB2312" w:hAnsi="宋体" w:eastAsia="仿宋_GB2312" w:cs="Courier New"/>
          <w:color w:val="000000"/>
          <w:sz w:val="32"/>
          <w:szCs w:val="32"/>
        </w:rPr>
        <w:t>万元，主要保障机构正常运转及正常履职需要。</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十四、政府采购及资产购置支出情况</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年政府采购预算安排</w:t>
      </w:r>
      <w:r>
        <w:rPr>
          <w:rFonts w:ascii="仿宋_GB2312" w:hAnsi="宋体" w:eastAsia="仿宋_GB2312" w:cs="Courier New"/>
          <w:color w:val="000000"/>
          <w:sz w:val="32"/>
          <w:szCs w:val="32"/>
        </w:rPr>
        <w:t>61.78</w:t>
      </w:r>
      <w:r>
        <w:rPr>
          <w:rFonts w:hint="eastAsia" w:ascii="仿宋_GB2312" w:hAnsi="宋体" w:eastAsia="仿宋_GB2312" w:cs="Courier New"/>
          <w:color w:val="000000"/>
          <w:sz w:val="32"/>
          <w:szCs w:val="32"/>
        </w:rPr>
        <w:t>万元，主要是：工程类</w:t>
      </w:r>
      <w:r>
        <w:rPr>
          <w:rFonts w:ascii="仿宋_GB2312" w:hAnsi="宋体" w:eastAsia="仿宋_GB2312" w:cs="Courier New"/>
          <w:color w:val="000000"/>
          <w:sz w:val="32"/>
          <w:szCs w:val="32"/>
        </w:rPr>
        <w:t>33.9</w:t>
      </w:r>
      <w:r>
        <w:rPr>
          <w:rFonts w:hint="eastAsia" w:ascii="仿宋_GB2312" w:hAnsi="宋体" w:eastAsia="仿宋_GB2312" w:cs="Courier New"/>
          <w:color w:val="000000"/>
          <w:sz w:val="32"/>
          <w:szCs w:val="32"/>
        </w:rPr>
        <w:t>万元；货物类</w:t>
      </w:r>
      <w:r>
        <w:rPr>
          <w:rFonts w:ascii="仿宋_GB2312" w:hAnsi="宋体" w:eastAsia="仿宋_GB2312" w:cs="Courier New"/>
          <w:color w:val="000000"/>
          <w:sz w:val="32"/>
          <w:szCs w:val="32"/>
        </w:rPr>
        <w:t>27.88</w:t>
      </w:r>
      <w:r>
        <w:rPr>
          <w:rFonts w:hint="eastAsia" w:ascii="仿宋_GB2312" w:hAnsi="宋体" w:eastAsia="仿宋_GB2312" w:cs="Courier New"/>
          <w:color w:val="000000"/>
          <w:sz w:val="32"/>
          <w:szCs w:val="32"/>
        </w:rPr>
        <w:t>万元。</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十五、政府购买服务支出情况</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没有购买服务支出。</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十六、预算绩效管理工作开展情况说明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ascii="仿宋_GB2312" w:hAnsi="宋体" w:eastAsia="仿宋_GB2312" w:cs="Courier New"/>
          <w:color w:val="000000"/>
          <w:sz w:val="32"/>
          <w:szCs w:val="32"/>
        </w:rPr>
        <w:t>2019</w:t>
      </w:r>
      <w:r>
        <w:rPr>
          <w:rFonts w:hint="eastAsia" w:ascii="仿宋_GB2312" w:hAnsi="宋体" w:eastAsia="仿宋_GB2312" w:cs="Courier New"/>
          <w:color w:val="000000"/>
          <w:sz w:val="32"/>
          <w:szCs w:val="32"/>
        </w:rPr>
        <w:t>年加强预算管理，强化绩效目标，加强预算执行监管和执行结果评价，将监督渗透到预算管理的事前、事中、事后各个环节。</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十七、国有资产占用情况说明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hAnsi="宋体" w:eastAsia="仿宋_GB2312" w:cs="Courier New"/>
          <w:color w:val="000000"/>
          <w:sz w:val="32"/>
          <w:szCs w:val="32"/>
        </w:rPr>
        <w:t>新组建单位，暂无国有资产占用情况。</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p>
    <w:p>
      <w:pPr>
        <w:widowControl/>
        <w:spacing w:line="590" w:lineRule="exact"/>
        <w:ind w:firstLine="640" w:firstLineChars="200"/>
        <w:rPr>
          <w:rFonts w:ascii="仿宋_GB2312" w:eastAsia="仿宋_GB2312"/>
          <w:sz w:val="32"/>
          <w:szCs w:val="32"/>
        </w:rPr>
      </w:pPr>
      <w:r>
        <w:rPr>
          <w:rFonts w:ascii="仿宋_GB2312" w:eastAsia="仿宋_GB2312"/>
          <w:sz w:val="32"/>
          <w:szCs w:val="32"/>
        </w:rPr>
        <w:br w:type="page"/>
      </w:r>
    </w:p>
    <w:p>
      <w:pPr>
        <w:adjustRightInd w:val="0"/>
        <w:snapToGrid w:val="0"/>
        <w:spacing w:line="360" w:lineRule="auto"/>
        <w:jc w:val="center"/>
        <w:rPr>
          <w:rFonts w:ascii="黑体" w:hAnsi="黑体" w:eastAsia="黑体"/>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第三部分</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一、财政拨款：</w:t>
      </w:r>
      <w:r>
        <w:rPr>
          <w:rFonts w:hint="eastAsia" w:ascii="仿宋_GB2312" w:hAnsi="宋体" w:eastAsia="仿宋_GB2312" w:cs="Courier New"/>
          <w:sz w:val="32"/>
          <w:szCs w:val="32"/>
        </w:rPr>
        <w:t>是指市级财政当年拨付的纳入一般公共预算和政府性基金预算管理的资金。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二、一般债务收入：</w:t>
      </w:r>
      <w:r>
        <w:rPr>
          <w:rFonts w:hint="eastAsia" w:ascii="仿宋_GB2312" w:hAnsi="宋体" w:eastAsia="仿宋_GB2312" w:cs="Courier New"/>
          <w:sz w:val="32"/>
          <w:szCs w:val="32"/>
        </w:rPr>
        <w:t>指纳入一般公共预算管理的政府债务收入。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三、盘活存量资金：</w:t>
      </w:r>
      <w:r>
        <w:rPr>
          <w:rFonts w:hint="eastAsia" w:ascii="仿宋_GB2312" w:hAnsi="宋体" w:eastAsia="仿宋_GB2312" w:cs="Courier New"/>
          <w:sz w:val="32"/>
          <w:szCs w:val="32"/>
        </w:rPr>
        <w:t>指按照国家有关规定重新安排使用的以前年度的存量资金。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四、纳入财政专户管理收费：</w:t>
      </w:r>
      <w:r>
        <w:rPr>
          <w:rFonts w:hint="eastAsia" w:ascii="仿宋_GB2312" w:hAnsi="宋体" w:eastAsia="仿宋_GB2312" w:cs="Courier New"/>
          <w:sz w:val="32"/>
          <w:szCs w:val="32"/>
        </w:rPr>
        <w:t>指按照上级有关规定，教育部门收取的，暂不缴入国库，纳入财政专户管理的各项收费。</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五、单位其他收入：</w:t>
      </w:r>
      <w:r>
        <w:rPr>
          <w:rFonts w:hint="eastAsia" w:ascii="仿宋_GB2312" w:hAnsi="宋体" w:eastAsia="仿宋_GB2312" w:cs="Courier New"/>
          <w:sz w:val="32"/>
          <w:szCs w:val="32"/>
        </w:rPr>
        <w:t>指未纳入一般公共预算、政府性基金预算、财政专户管理，不缴入国库、财政专户的单位事业收入、经营收入和其他收入。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六、基本支出：</w:t>
      </w:r>
      <w:r>
        <w:rPr>
          <w:rFonts w:hint="eastAsia" w:ascii="仿宋_GB2312" w:hAnsi="宋体" w:eastAsia="仿宋_GB2312" w:cs="Courier New"/>
          <w:sz w:val="32"/>
          <w:szCs w:val="32"/>
        </w:rPr>
        <w:t>是指为保障机构正常运转、完成日常工作任务所必需的、不能纳入项目绩效管理的开支。</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七、项目支出：</w:t>
      </w:r>
      <w:r>
        <w:rPr>
          <w:rFonts w:hint="eastAsia" w:ascii="仿宋_GB2312" w:hAnsi="宋体" w:eastAsia="仿宋_GB2312" w:cs="Courier New"/>
          <w:sz w:val="32"/>
          <w:szCs w:val="32"/>
        </w:rPr>
        <w:t>是指在基本支出之外，为完成特定的行政工作任务或事业发展目标所发生的能够纳入项目绩效管理的支出。根据项目管理方式不同，依次选择“专项资金、投资类项目、运转类项目和其他项目”。其中：</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专项资金，指根据《新乡市市级财政专项资金管理办法》</w:t>
      </w:r>
      <w:r>
        <w:rPr>
          <w:rFonts w:ascii="仿宋_GB2312" w:hAnsi="宋体" w:eastAsia="仿宋_GB2312" w:cs="Courier New"/>
          <w:sz w:val="32"/>
          <w:szCs w:val="32"/>
        </w:rPr>
        <w:t>(</w:t>
      </w:r>
      <w:r>
        <w:rPr>
          <w:rFonts w:hint="eastAsia" w:ascii="仿宋_GB2312" w:hAnsi="宋体" w:eastAsia="仿宋_GB2312" w:cs="Courier New"/>
          <w:sz w:val="32"/>
          <w:szCs w:val="32"/>
        </w:rPr>
        <w:t>新政文〔</w:t>
      </w:r>
      <w:r>
        <w:rPr>
          <w:rFonts w:ascii="仿宋_GB2312" w:hAnsi="宋体" w:eastAsia="仿宋_GB2312" w:cs="Courier New"/>
          <w:sz w:val="32"/>
          <w:szCs w:val="32"/>
        </w:rPr>
        <w:t>2015</w:t>
      </w:r>
      <w:r>
        <w:rPr>
          <w:rFonts w:hint="eastAsia" w:ascii="仿宋_GB2312" w:hAnsi="宋体" w:eastAsia="仿宋_GB2312" w:cs="Courier New"/>
          <w:sz w:val="32"/>
          <w:szCs w:val="32"/>
        </w:rPr>
        <w:t>〕</w:t>
      </w:r>
      <w:r>
        <w:rPr>
          <w:rFonts w:ascii="仿宋_GB2312" w:hAnsi="宋体" w:eastAsia="仿宋_GB2312" w:cs="Courier New"/>
          <w:sz w:val="32"/>
          <w:szCs w:val="32"/>
        </w:rPr>
        <w:t>65</w:t>
      </w:r>
      <w:r>
        <w:rPr>
          <w:rFonts w:hint="eastAsia" w:ascii="仿宋_GB2312" w:hAnsi="宋体" w:eastAsia="仿宋_GB2312" w:cs="Courier New"/>
          <w:sz w:val="32"/>
          <w:szCs w:val="32"/>
        </w:rPr>
        <w:t>号</w:t>
      </w:r>
      <w:r>
        <w:rPr>
          <w:rFonts w:ascii="仿宋_GB2312" w:hAnsi="宋体" w:eastAsia="仿宋_GB2312" w:cs="Courier New"/>
          <w:sz w:val="32"/>
          <w:szCs w:val="32"/>
        </w:rPr>
        <w:t>)</w:t>
      </w:r>
      <w:r>
        <w:rPr>
          <w:rFonts w:hint="eastAsia" w:ascii="仿宋_GB2312" w:hAnsi="宋体" w:eastAsia="仿宋_GB2312" w:cs="Courier New"/>
          <w:sz w:val="32"/>
          <w:szCs w:val="32"/>
        </w:rPr>
        <w:t>规定，为促进经济社会发展、完成特定工作任务或实现特定事业发展目标</w:t>
      </w:r>
      <w:r>
        <w:rPr>
          <w:rFonts w:ascii="仿宋_GB2312" w:hAnsi="宋体" w:eastAsia="仿宋_GB2312" w:cs="Courier New"/>
          <w:sz w:val="32"/>
          <w:szCs w:val="32"/>
        </w:rPr>
        <w:t>,</w:t>
      </w:r>
      <w:r>
        <w:rPr>
          <w:rFonts w:hint="eastAsia" w:ascii="仿宋_GB2312" w:hAnsi="宋体" w:eastAsia="仿宋_GB2312" w:cs="Courier New"/>
          <w:sz w:val="32"/>
          <w:szCs w:val="32"/>
        </w:rPr>
        <w:t>经市政府批准</w:t>
      </w:r>
      <w:r>
        <w:rPr>
          <w:rFonts w:ascii="仿宋_GB2312" w:hAnsi="宋体" w:eastAsia="仿宋_GB2312" w:cs="Courier New"/>
          <w:sz w:val="32"/>
          <w:szCs w:val="32"/>
        </w:rPr>
        <w:t>,</w:t>
      </w:r>
      <w:r>
        <w:rPr>
          <w:rFonts w:hint="eastAsia" w:ascii="仿宋_GB2312" w:hAnsi="宋体" w:eastAsia="仿宋_GB2312" w:cs="Courier New"/>
          <w:sz w:val="32"/>
          <w:szCs w:val="32"/>
        </w:rPr>
        <w:t>由市级财政在一定时期安排</w:t>
      </w:r>
      <w:r>
        <w:rPr>
          <w:rFonts w:ascii="仿宋_GB2312" w:hAnsi="宋体" w:eastAsia="仿宋_GB2312" w:cs="Courier New"/>
          <w:sz w:val="32"/>
          <w:szCs w:val="32"/>
        </w:rPr>
        <w:t>,</w:t>
      </w:r>
      <w:r>
        <w:rPr>
          <w:rFonts w:hint="eastAsia" w:ascii="仿宋_GB2312" w:hAnsi="宋体" w:eastAsia="仿宋_GB2312" w:cs="Courier New"/>
          <w:sz w:val="32"/>
          <w:szCs w:val="32"/>
        </w:rPr>
        <w:t>具有专门用途的资金，实行目录管理。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投资类项目指单个项目投资额度在</w:t>
      </w:r>
      <w:r>
        <w:rPr>
          <w:rFonts w:ascii="仿宋_GB2312" w:hAnsi="宋体" w:eastAsia="仿宋_GB2312" w:cs="Courier New"/>
          <w:sz w:val="32"/>
          <w:szCs w:val="32"/>
        </w:rPr>
        <w:t>100</w:t>
      </w:r>
      <w:r>
        <w:rPr>
          <w:rFonts w:hint="eastAsia" w:ascii="仿宋_GB2312" w:hAnsi="宋体" w:eastAsia="仿宋_GB2312" w:cs="Courier New"/>
          <w:sz w:val="32"/>
          <w:szCs w:val="32"/>
        </w:rPr>
        <w:t>万元以上，纳入发改委项目储备库或年度投资计划的项目资金和土地储备项目资金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其他项目指除上述三类项目外的项目支出。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八、“三公”经费：</w:t>
      </w:r>
      <w:r>
        <w:rPr>
          <w:rFonts w:hint="eastAsia" w:ascii="仿宋_GB2312" w:hAnsi="宋体" w:eastAsia="仿宋_GB2312" w:cs="Courier New"/>
          <w:sz w:val="32"/>
          <w:szCs w:val="32"/>
        </w:rPr>
        <w:t>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九、机关运行经费：</w:t>
      </w:r>
      <w:r>
        <w:rPr>
          <w:rFonts w:hint="eastAsia" w:ascii="仿宋_GB2312" w:hAnsi="宋体" w:eastAsia="仿宋_GB2312" w:cs="Courier New"/>
          <w:sz w:val="32"/>
          <w:szCs w:val="32"/>
        </w:rPr>
        <w:t>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十、部门管理项目：</w:t>
      </w:r>
      <w:r>
        <w:rPr>
          <w:rFonts w:hint="eastAsia" w:ascii="仿宋_GB2312" w:hAnsi="宋体" w:eastAsia="仿宋_GB2312" w:cs="Courier New"/>
          <w:sz w:val="32"/>
          <w:szCs w:val="32"/>
        </w:rPr>
        <w:t>根据预算管理的特点，由主要部门实际管理，但未纳入部门支出的项目，主要包括：对县（市、区）的转移支付，部门负责管理的市本级的支出项目。</w:t>
      </w:r>
    </w:p>
    <w:p>
      <w:pPr>
        <w:adjustRightInd w:val="0"/>
        <w:snapToGrid w:val="0"/>
        <w:spacing w:line="360" w:lineRule="auto"/>
        <w:rPr>
          <w:rFonts w:ascii="黑体" w:hAnsi="黑体" w:eastAsia="黑体"/>
          <w:sz w:val="32"/>
          <w:szCs w:val="32"/>
        </w:rPr>
      </w:pPr>
    </w:p>
    <w:p>
      <w:pPr>
        <w:adjustRightInd w:val="0"/>
        <w:snapToGrid w:val="0"/>
        <w:spacing w:line="360" w:lineRule="auto"/>
        <w:rPr>
          <w:rFonts w:ascii="黑体" w:hAnsi="黑体" w:eastAsia="黑体"/>
          <w:sz w:val="32"/>
          <w:szCs w:val="32"/>
        </w:rPr>
      </w:pPr>
    </w:p>
    <w:p>
      <w:pPr>
        <w:adjustRightInd w:val="0"/>
        <w:snapToGrid w:val="0"/>
        <w:spacing w:line="360" w:lineRule="auto"/>
        <w:rPr>
          <w:rFonts w:ascii="黑体" w:hAnsi="黑体" w:eastAsia="黑体"/>
          <w:sz w:val="32"/>
          <w:szCs w:val="32"/>
        </w:rPr>
      </w:pPr>
    </w:p>
    <w:p>
      <w:pPr>
        <w:adjustRightInd w:val="0"/>
        <w:snapToGrid w:val="0"/>
        <w:spacing w:line="360" w:lineRule="auto"/>
        <w:rPr>
          <w:rFonts w:ascii="黑体" w:hAnsi="黑体" w:eastAsia="黑体"/>
          <w:sz w:val="32"/>
          <w:szCs w:val="32"/>
        </w:rPr>
      </w:pPr>
      <w:r>
        <w:rPr>
          <w:rFonts w:hint="eastAsia" w:ascii="黑体" w:hAnsi="黑体" w:eastAsia="黑体"/>
          <w:sz w:val="32"/>
          <w:szCs w:val="32"/>
        </w:rPr>
        <w:t>附件：</w:t>
      </w:r>
    </w:p>
    <w:p>
      <w:pPr>
        <w:adjustRightInd w:val="0"/>
        <w:snapToGrid w:val="0"/>
        <w:spacing w:line="360" w:lineRule="auto"/>
        <w:jc w:val="center"/>
        <w:rPr>
          <w:rFonts w:ascii="黑体" w:hAnsi="黑体" w:eastAsia="黑体"/>
          <w:sz w:val="32"/>
          <w:szCs w:val="32"/>
        </w:rPr>
      </w:pPr>
      <w:r>
        <w:fldChar w:fldCharType="begin"/>
      </w:r>
      <w:r>
        <w:instrText xml:space="preserve"> HYPERLINK "../../2017年预算/预决算公开/预算系统输出表（部门预算公开表）.xls" </w:instrText>
      </w:r>
      <w:r>
        <w:fldChar w:fldCharType="separate"/>
      </w:r>
      <w:r>
        <w:rPr>
          <w:rStyle w:val="8"/>
          <w:rFonts w:hint="eastAsia" w:ascii="黑体" w:hAnsi="黑体" w:eastAsia="黑体"/>
          <w:sz w:val="32"/>
          <w:szCs w:val="32"/>
        </w:rPr>
        <w:t>新乡市民政局</w:t>
      </w:r>
      <w:r>
        <w:rPr>
          <w:rStyle w:val="8"/>
          <w:rFonts w:ascii="黑体" w:hAnsi="黑体" w:eastAsia="黑体"/>
          <w:sz w:val="32"/>
          <w:szCs w:val="32"/>
        </w:rPr>
        <w:t>2019</w:t>
      </w:r>
      <w:r>
        <w:rPr>
          <w:rStyle w:val="8"/>
          <w:rFonts w:hint="eastAsia" w:ascii="黑体" w:hAnsi="黑体" w:eastAsia="黑体"/>
          <w:sz w:val="32"/>
          <w:szCs w:val="32"/>
        </w:rPr>
        <w:t>年度部门预算表</w:t>
      </w:r>
      <w:r>
        <w:rPr>
          <w:rStyle w:val="8"/>
          <w:rFonts w:hint="eastAsia" w:ascii="黑体" w:hAnsi="黑体" w:eastAsia="黑体"/>
          <w:sz w:val="32"/>
          <w:szCs w:val="32"/>
        </w:rPr>
        <w:fldChar w:fldCharType="end"/>
      </w:r>
    </w:p>
    <w:p>
      <w:pPr>
        <w:adjustRightInd w:val="0"/>
        <w:snapToGrid w:val="0"/>
        <w:spacing w:line="360" w:lineRule="auto"/>
        <w:ind w:firstLine="640" w:firstLineChars="200"/>
        <w:rPr>
          <w:rFonts w:ascii="黑体" w:hAnsi="黑体" w:eastAsia="黑体"/>
          <w:sz w:val="32"/>
          <w:szCs w:val="32"/>
        </w:rPr>
      </w:pPr>
    </w:p>
    <w:p>
      <w:pPr>
        <w:adjustRightInd w:val="0"/>
        <w:snapToGrid w:val="0"/>
        <w:spacing w:line="360" w:lineRule="auto"/>
        <w:ind w:firstLine="640" w:firstLineChars="200"/>
        <w:rPr>
          <w:rFonts w:ascii="黑体" w:hAnsi="黑体" w:eastAsia="黑体"/>
          <w:sz w:val="32"/>
          <w:szCs w:val="32"/>
        </w:rPr>
      </w:pPr>
    </w:p>
    <w:p>
      <w:pPr>
        <w:adjustRightInd w:val="0"/>
        <w:snapToGrid w:val="0"/>
        <w:spacing w:line="360" w:lineRule="auto"/>
        <w:rPr>
          <w:rFonts w:ascii="黑体" w:hAnsi="黑体" w:eastAsia="黑体"/>
          <w:sz w:val="32"/>
          <w:szCs w:val="32"/>
        </w:rPr>
      </w:pPr>
    </w:p>
    <w:sectPr>
      <w:footerReference r:id="rId3" w:type="default"/>
      <w:footerReference r:id="rId4" w:type="even"/>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66A"/>
    <w:rsid w:val="000004A4"/>
    <w:rsid w:val="00001757"/>
    <w:rsid w:val="00003D60"/>
    <w:rsid w:val="00004A41"/>
    <w:rsid w:val="000056FE"/>
    <w:rsid w:val="00007CC9"/>
    <w:rsid w:val="00016ADC"/>
    <w:rsid w:val="000328AD"/>
    <w:rsid w:val="0003777B"/>
    <w:rsid w:val="0004188F"/>
    <w:rsid w:val="00046D83"/>
    <w:rsid w:val="00050B6C"/>
    <w:rsid w:val="00052730"/>
    <w:rsid w:val="0005442A"/>
    <w:rsid w:val="00060437"/>
    <w:rsid w:val="00065B9E"/>
    <w:rsid w:val="000667EE"/>
    <w:rsid w:val="000830E3"/>
    <w:rsid w:val="00086720"/>
    <w:rsid w:val="00092441"/>
    <w:rsid w:val="00093C9D"/>
    <w:rsid w:val="000A07A3"/>
    <w:rsid w:val="000A18BD"/>
    <w:rsid w:val="000B2445"/>
    <w:rsid w:val="000C4CC2"/>
    <w:rsid w:val="000C63BA"/>
    <w:rsid w:val="000D025C"/>
    <w:rsid w:val="000D146C"/>
    <w:rsid w:val="000E5387"/>
    <w:rsid w:val="000E666A"/>
    <w:rsid w:val="000E6F0D"/>
    <w:rsid w:val="000F0D3B"/>
    <w:rsid w:val="001003CC"/>
    <w:rsid w:val="0010654C"/>
    <w:rsid w:val="00120162"/>
    <w:rsid w:val="0012518F"/>
    <w:rsid w:val="001264BC"/>
    <w:rsid w:val="0013131B"/>
    <w:rsid w:val="001316FD"/>
    <w:rsid w:val="001353C1"/>
    <w:rsid w:val="001436AF"/>
    <w:rsid w:val="00145E1A"/>
    <w:rsid w:val="00147BEE"/>
    <w:rsid w:val="00157354"/>
    <w:rsid w:val="0015797A"/>
    <w:rsid w:val="0016268A"/>
    <w:rsid w:val="00166082"/>
    <w:rsid w:val="00171065"/>
    <w:rsid w:val="001720DD"/>
    <w:rsid w:val="00176038"/>
    <w:rsid w:val="001768DC"/>
    <w:rsid w:val="00177B9B"/>
    <w:rsid w:val="0018629F"/>
    <w:rsid w:val="00187432"/>
    <w:rsid w:val="00193C81"/>
    <w:rsid w:val="00196982"/>
    <w:rsid w:val="001A45D6"/>
    <w:rsid w:val="001A5C07"/>
    <w:rsid w:val="001C7E81"/>
    <w:rsid w:val="001F24BC"/>
    <w:rsid w:val="001F2714"/>
    <w:rsid w:val="001F64E1"/>
    <w:rsid w:val="001F657E"/>
    <w:rsid w:val="00202770"/>
    <w:rsid w:val="00204E18"/>
    <w:rsid w:val="0021471A"/>
    <w:rsid w:val="00215144"/>
    <w:rsid w:val="002155E6"/>
    <w:rsid w:val="002213D7"/>
    <w:rsid w:val="00230456"/>
    <w:rsid w:val="0023484A"/>
    <w:rsid w:val="00236C70"/>
    <w:rsid w:val="00242997"/>
    <w:rsid w:val="002446C3"/>
    <w:rsid w:val="00251DE8"/>
    <w:rsid w:val="00254A2A"/>
    <w:rsid w:val="002601F3"/>
    <w:rsid w:val="00262716"/>
    <w:rsid w:val="00264A86"/>
    <w:rsid w:val="00267739"/>
    <w:rsid w:val="00270CB1"/>
    <w:rsid w:val="00275A55"/>
    <w:rsid w:val="00283244"/>
    <w:rsid w:val="0028623C"/>
    <w:rsid w:val="002A58F0"/>
    <w:rsid w:val="002B612E"/>
    <w:rsid w:val="002B7F7A"/>
    <w:rsid w:val="002C14D9"/>
    <w:rsid w:val="002C1804"/>
    <w:rsid w:val="002D0596"/>
    <w:rsid w:val="002E0122"/>
    <w:rsid w:val="002E02DA"/>
    <w:rsid w:val="002E27DE"/>
    <w:rsid w:val="002E3628"/>
    <w:rsid w:val="002E5C55"/>
    <w:rsid w:val="002E5EBE"/>
    <w:rsid w:val="002F12E9"/>
    <w:rsid w:val="002F1A34"/>
    <w:rsid w:val="002F5B5D"/>
    <w:rsid w:val="002F6CC2"/>
    <w:rsid w:val="002F77D5"/>
    <w:rsid w:val="0032045B"/>
    <w:rsid w:val="00320FEA"/>
    <w:rsid w:val="00322C06"/>
    <w:rsid w:val="00327ADF"/>
    <w:rsid w:val="00331C8F"/>
    <w:rsid w:val="0034481A"/>
    <w:rsid w:val="0035113D"/>
    <w:rsid w:val="00352AD6"/>
    <w:rsid w:val="00356056"/>
    <w:rsid w:val="00360B9D"/>
    <w:rsid w:val="003615E5"/>
    <w:rsid w:val="0036465D"/>
    <w:rsid w:val="00374335"/>
    <w:rsid w:val="003761B9"/>
    <w:rsid w:val="0038689C"/>
    <w:rsid w:val="003A1854"/>
    <w:rsid w:val="003A31D3"/>
    <w:rsid w:val="003B6DF2"/>
    <w:rsid w:val="003B7AAE"/>
    <w:rsid w:val="003C5AF1"/>
    <w:rsid w:val="003E0F53"/>
    <w:rsid w:val="003E2D13"/>
    <w:rsid w:val="003E4F75"/>
    <w:rsid w:val="003F044F"/>
    <w:rsid w:val="00400480"/>
    <w:rsid w:val="00400EC6"/>
    <w:rsid w:val="00403455"/>
    <w:rsid w:val="004078CB"/>
    <w:rsid w:val="004119E0"/>
    <w:rsid w:val="00414D58"/>
    <w:rsid w:val="00423E21"/>
    <w:rsid w:val="00424AD0"/>
    <w:rsid w:val="00424DB3"/>
    <w:rsid w:val="00425DE7"/>
    <w:rsid w:val="0042656D"/>
    <w:rsid w:val="0042665A"/>
    <w:rsid w:val="00426C7F"/>
    <w:rsid w:val="00427B06"/>
    <w:rsid w:val="004500C2"/>
    <w:rsid w:val="0045307E"/>
    <w:rsid w:val="004566F7"/>
    <w:rsid w:val="00460D67"/>
    <w:rsid w:val="0046494C"/>
    <w:rsid w:val="004656F7"/>
    <w:rsid w:val="00470B16"/>
    <w:rsid w:val="004738EF"/>
    <w:rsid w:val="00475C30"/>
    <w:rsid w:val="0047683A"/>
    <w:rsid w:val="00477172"/>
    <w:rsid w:val="004842B6"/>
    <w:rsid w:val="004842D5"/>
    <w:rsid w:val="00486FD4"/>
    <w:rsid w:val="004A227D"/>
    <w:rsid w:val="004A2735"/>
    <w:rsid w:val="004A42AF"/>
    <w:rsid w:val="004B1080"/>
    <w:rsid w:val="004C0B6C"/>
    <w:rsid w:val="004C3AD6"/>
    <w:rsid w:val="004C7BA0"/>
    <w:rsid w:val="004D069E"/>
    <w:rsid w:val="004D0CCC"/>
    <w:rsid w:val="004D26BE"/>
    <w:rsid w:val="004F1ED2"/>
    <w:rsid w:val="004F269A"/>
    <w:rsid w:val="004F40C4"/>
    <w:rsid w:val="004F460E"/>
    <w:rsid w:val="004F696C"/>
    <w:rsid w:val="00503F75"/>
    <w:rsid w:val="00504D4A"/>
    <w:rsid w:val="00513909"/>
    <w:rsid w:val="00516B69"/>
    <w:rsid w:val="005271CC"/>
    <w:rsid w:val="005301EC"/>
    <w:rsid w:val="00530C66"/>
    <w:rsid w:val="00530F2D"/>
    <w:rsid w:val="00536D68"/>
    <w:rsid w:val="00540B6A"/>
    <w:rsid w:val="00542462"/>
    <w:rsid w:val="005433FC"/>
    <w:rsid w:val="00552BF3"/>
    <w:rsid w:val="005541F1"/>
    <w:rsid w:val="00554BEE"/>
    <w:rsid w:val="0055679B"/>
    <w:rsid w:val="00556BE7"/>
    <w:rsid w:val="005663E2"/>
    <w:rsid w:val="00571108"/>
    <w:rsid w:val="00577F84"/>
    <w:rsid w:val="00583C97"/>
    <w:rsid w:val="00591111"/>
    <w:rsid w:val="00594F1A"/>
    <w:rsid w:val="005A7520"/>
    <w:rsid w:val="005B09E4"/>
    <w:rsid w:val="005B4803"/>
    <w:rsid w:val="005B7D64"/>
    <w:rsid w:val="005C44FA"/>
    <w:rsid w:val="005E12A2"/>
    <w:rsid w:val="005E3AE1"/>
    <w:rsid w:val="005E6CB4"/>
    <w:rsid w:val="005F0E25"/>
    <w:rsid w:val="005F222D"/>
    <w:rsid w:val="005F36D1"/>
    <w:rsid w:val="00600AAF"/>
    <w:rsid w:val="00601CD8"/>
    <w:rsid w:val="006059F4"/>
    <w:rsid w:val="00617666"/>
    <w:rsid w:val="00624868"/>
    <w:rsid w:val="00641E96"/>
    <w:rsid w:val="006450F6"/>
    <w:rsid w:val="006519C1"/>
    <w:rsid w:val="006533BE"/>
    <w:rsid w:val="00655CED"/>
    <w:rsid w:val="00655F9F"/>
    <w:rsid w:val="00660094"/>
    <w:rsid w:val="00662353"/>
    <w:rsid w:val="0066274D"/>
    <w:rsid w:val="00671A17"/>
    <w:rsid w:val="00681209"/>
    <w:rsid w:val="006877F1"/>
    <w:rsid w:val="00691130"/>
    <w:rsid w:val="006933B5"/>
    <w:rsid w:val="00695E49"/>
    <w:rsid w:val="006A1C28"/>
    <w:rsid w:val="006A2177"/>
    <w:rsid w:val="006B104A"/>
    <w:rsid w:val="006B23FE"/>
    <w:rsid w:val="006C4B05"/>
    <w:rsid w:val="006C6A3D"/>
    <w:rsid w:val="006C6E8C"/>
    <w:rsid w:val="006D163E"/>
    <w:rsid w:val="006D1B8A"/>
    <w:rsid w:val="006D36CC"/>
    <w:rsid w:val="006E1282"/>
    <w:rsid w:val="006E311C"/>
    <w:rsid w:val="006E3A96"/>
    <w:rsid w:val="006F6457"/>
    <w:rsid w:val="006F7ED2"/>
    <w:rsid w:val="00700C7A"/>
    <w:rsid w:val="00705E29"/>
    <w:rsid w:val="007131C3"/>
    <w:rsid w:val="007132D8"/>
    <w:rsid w:val="00716707"/>
    <w:rsid w:val="007267F5"/>
    <w:rsid w:val="007324C1"/>
    <w:rsid w:val="00742C70"/>
    <w:rsid w:val="00744565"/>
    <w:rsid w:val="00754A11"/>
    <w:rsid w:val="00761967"/>
    <w:rsid w:val="0076639E"/>
    <w:rsid w:val="00784A52"/>
    <w:rsid w:val="007854FD"/>
    <w:rsid w:val="007855DC"/>
    <w:rsid w:val="007A304A"/>
    <w:rsid w:val="007A316B"/>
    <w:rsid w:val="007B27DC"/>
    <w:rsid w:val="007B6C7F"/>
    <w:rsid w:val="007B748B"/>
    <w:rsid w:val="007C2F94"/>
    <w:rsid w:val="007C41F5"/>
    <w:rsid w:val="007C5790"/>
    <w:rsid w:val="007C7713"/>
    <w:rsid w:val="007D41D6"/>
    <w:rsid w:val="007E3F22"/>
    <w:rsid w:val="007E7438"/>
    <w:rsid w:val="008035D5"/>
    <w:rsid w:val="00803E72"/>
    <w:rsid w:val="00811491"/>
    <w:rsid w:val="008121B1"/>
    <w:rsid w:val="00813D8B"/>
    <w:rsid w:val="00813ECE"/>
    <w:rsid w:val="00815377"/>
    <w:rsid w:val="00816DFE"/>
    <w:rsid w:val="00833376"/>
    <w:rsid w:val="008336B4"/>
    <w:rsid w:val="00836BB8"/>
    <w:rsid w:val="00840334"/>
    <w:rsid w:val="00844445"/>
    <w:rsid w:val="00850003"/>
    <w:rsid w:val="00850526"/>
    <w:rsid w:val="00862ACE"/>
    <w:rsid w:val="00865C99"/>
    <w:rsid w:val="00865CB1"/>
    <w:rsid w:val="008662DA"/>
    <w:rsid w:val="00866922"/>
    <w:rsid w:val="00871827"/>
    <w:rsid w:val="00872A52"/>
    <w:rsid w:val="00876F50"/>
    <w:rsid w:val="00880C02"/>
    <w:rsid w:val="00883133"/>
    <w:rsid w:val="008831B0"/>
    <w:rsid w:val="008852A0"/>
    <w:rsid w:val="008854C3"/>
    <w:rsid w:val="00887FD5"/>
    <w:rsid w:val="008A07E9"/>
    <w:rsid w:val="008A6827"/>
    <w:rsid w:val="008A6E23"/>
    <w:rsid w:val="008B22A2"/>
    <w:rsid w:val="008B29FF"/>
    <w:rsid w:val="008D73FF"/>
    <w:rsid w:val="008F0E48"/>
    <w:rsid w:val="008F3542"/>
    <w:rsid w:val="0090127A"/>
    <w:rsid w:val="00903B03"/>
    <w:rsid w:val="009053A0"/>
    <w:rsid w:val="00907F29"/>
    <w:rsid w:val="00910A7A"/>
    <w:rsid w:val="00916311"/>
    <w:rsid w:val="00923EC7"/>
    <w:rsid w:val="00930530"/>
    <w:rsid w:val="00932EE9"/>
    <w:rsid w:val="00940B89"/>
    <w:rsid w:val="00947589"/>
    <w:rsid w:val="009504C9"/>
    <w:rsid w:val="00963125"/>
    <w:rsid w:val="00964DF6"/>
    <w:rsid w:val="00965DD7"/>
    <w:rsid w:val="00972A21"/>
    <w:rsid w:val="00976330"/>
    <w:rsid w:val="009844E2"/>
    <w:rsid w:val="00984BB7"/>
    <w:rsid w:val="0099008B"/>
    <w:rsid w:val="00997ABD"/>
    <w:rsid w:val="009A17D4"/>
    <w:rsid w:val="009A311C"/>
    <w:rsid w:val="009A5181"/>
    <w:rsid w:val="009B31BD"/>
    <w:rsid w:val="009B779E"/>
    <w:rsid w:val="009C3AAD"/>
    <w:rsid w:val="009C5886"/>
    <w:rsid w:val="009C79D8"/>
    <w:rsid w:val="009D06CC"/>
    <w:rsid w:val="009D6176"/>
    <w:rsid w:val="009F0C6B"/>
    <w:rsid w:val="009F5003"/>
    <w:rsid w:val="00A04FDB"/>
    <w:rsid w:val="00A05D74"/>
    <w:rsid w:val="00A1196B"/>
    <w:rsid w:val="00A23BB0"/>
    <w:rsid w:val="00A354EC"/>
    <w:rsid w:val="00A360C2"/>
    <w:rsid w:val="00A63AFE"/>
    <w:rsid w:val="00A71803"/>
    <w:rsid w:val="00A75823"/>
    <w:rsid w:val="00AA4E11"/>
    <w:rsid w:val="00AB03ED"/>
    <w:rsid w:val="00AB0A30"/>
    <w:rsid w:val="00AB18CB"/>
    <w:rsid w:val="00AB2328"/>
    <w:rsid w:val="00AC5410"/>
    <w:rsid w:val="00AC7E60"/>
    <w:rsid w:val="00AE1994"/>
    <w:rsid w:val="00B007E3"/>
    <w:rsid w:val="00B01857"/>
    <w:rsid w:val="00B1453C"/>
    <w:rsid w:val="00B3662B"/>
    <w:rsid w:val="00B377C4"/>
    <w:rsid w:val="00B40F74"/>
    <w:rsid w:val="00B43E66"/>
    <w:rsid w:val="00B47762"/>
    <w:rsid w:val="00B50AE6"/>
    <w:rsid w:val="00B57409"/>
    <w:rsid w:val="00B65C21"/>
    <w:rsid w:val="00B665C0"/>
    <w:rsid w:val="00B6705E"/>
    <w:rsid w:val="00B801A1"/>
    <w:rsid w:val="00B83D04"/>
    <w:rsid w:val="00B85419"/>
    <w:rsid w:val="00B87032"/>
    <w:rsid w:val="00B92341"/>
    <w:rsid w:val="00B932C7"/>
    <w:rsid w:val="00B95788"/>
    <w:rsid w:val="00BA056E"/>
    <w:rsid w:val="00BA38DA"/>
    <w:rsid w:val="00BA5E9A"/>
    <w:rsid w:val="00BB59DB"/>
    <w:rsid w:val="00BB5B69"/>
    <w:rsid w:val="00BC2A56"/>
    <w:rsid w:val="00BC3BA9"/>
    <w:rsid w:val="00BC4131"/>
    <w:rsid w:val="00BE478F"/>
    <w:rsid w:val="00BE4D35"/>
    <w:rsid w:val="00BF0F52"/>
    <w:rsid w:val="00C0162B"/>
    <w:rsid w:val="00C03348"/>
    <w:rsid w:val="00C139D8"/>
    <w:rsid w:val="00C17E7A"/>
    <w:rsid w:val="00C21E04"/>
    <w:rsid w:val="00C23F9E"/>
    <w:rsid w:val="00C256B1"/>
    <w:rsid w:val="00C4757E"/>
    <w:rsid w:val="00C562AA"/>
    <w:rsid w:val="00C63E2B"/>
    <w:rsid w:val="00C65DCF"/>
    <w:rsid w:val="00C65E72"/>
    <w:rsid w:val="00C66F39"/>
    <w:rsid w:val="00C70F12"/>
    <w:rsid w:val="00C738E2"/>
    <w:rsid w:val="00C836B7"/>
    <w:rsid w:val="00C934AF"/>
    <w:rsid w:val="00CA134C"/>
    <w:rsid w:val="00CA314A"/>
    <w:rsid w:val="00CB1547"/>
    <w:rsid w:val="00CB4134"/>
    <w:rsid w:val="00CB508D"/>
    <w:rsid w:val="00CC27C8"/>
    <w:rsid w:val="00CC6157"/>
    <w:rsid w:val="00CC793C"/>
    <w:rsid w:val="00CD7B98"/>
    <w:rsid w:val="00CE1AC7"/>
    <w:rsid w:val="00CE2380"/>
    <w:rsid w:val="00CE74F0"/>
    <w:rsid w:val="00CF458F"/>
    <w:rsid w:val="00D04BF4"/>
    <w:rsid w:val="00D2537C"/>
    <w:rsid w:val="00D26956"/>
    <w:rsid w:val="00D27601"/>
    <w:rsid w:val="00D527ED"/>
    <w:rsid w:val="00D561EE"/>
    <w:rsid w:val="00D7195F"/>
    <w:rsid w:val="00D71EB7"/>
    <w:rsid w:val="00D8525D"/>
    <w:rsid w:val="00D90BF1"/>
    <w:rsid w:val="00D92623"/>
    <w:rsid w:val="00DA5176"/>
    <w:rsid w:val="00DA7B0B"/>
    <w:rsid w:val="00DD4A13"/>
    <w:rsid w:val="00DD6466"/>
    <w:rsid w:val="00DE6A63"/>
    <w:rsid w:val="00DF0203"/>
    <w:rsid w:val="00DF19C8"/>
    <w:rsid w:val="00DF43E7"/>
    <w:rsid w:val="00E03857"/>
    <w:rsid w:val="00E04054"/>
    <w:rsid w:val="00E11D91"/>
    <w:rsid w:val="00E1289B"/>
    <w:rsid w:val="00E224B9"/>
    <w:rsid w:val="00E4080C"/>
    <w:rsid w:val="00E41910"/>
    <w:rsid w:val="00E43ED0"/>
    <w:rsid w:val="00E461E2"/>
    <w:rsid w:val="00E549CB"/>
    <w:rsid w:val="00E76EAF"/>
    <w:rsid w:val="00E828F4"/>
    <w:rsid w:val="00E86FED"/>
    <w:rsid w:val="00E87B05"/>
    <w:rsid w:val="00E941A6"/>
    <w:rsid w:val="00EB05F1"/>
    <w:rsid w:val="00EB3FA4"/>
    <w:rsid w:val="00EB5C2F"/>
    <w:rsid w:val="00EB6F57"/>
    <w:rsid w:val="00EC1FC1"/>
    <w:rsid w:val="00ED18F0"/>
    <w:rsid w:val="00ED7886"/>
    <w:rsid w:val="00EE05C3"/>
    <w:rsid w:val="00EE1964"/>
    <w:rsid w:val="00EE59D1"/>
    <w:rsid w:val="00EE6F02"/>
    <w:rsid w:val="00EF0F02"/>
    <w:rsid w:val="00F01287"/>
    <w:rsid w:val="00F1283B"/>
    <w:rsid w:val="00F25745"/>
    <w:rsid w:val="00F33362"/>
    <w:rsid w:val="00F34E65"/>
    <w:rsid w:val="00F431C7"/>
    <w:rsid w:val="00F44EC4"/>
    <w:rsid w:val="00F506ED"/>
    <w:rsid w:val="00F60ABA"/>
    <w:rsid w:val="00F63CE3"/>
    <w:rsid w:val="00F6765B"/>
    <w:rsid w:val="00F704F4"/>
    <w:rsid w:val="00F903AD"/>
    <w:rsid w:val="00F93BB7"/>
    <w:rsid w:val="00F955DA"/>
    <w:rsid w:val="00FB1000"/>
    <w:rsid w:val="00FB4F52"/>
    <w:rsid w:val="00FB698F"/>
    <w:rsid w:val="00FC238F"/>
    <w:rsid w:val="00FC2CBB"/>
    <w:rsid w:val="00FC2ECF"/>
    <w:rsid w:val="00FC549A"/>
    <w:rsid w:val="00FD05B8"/>
    <w:rsid w:val="00FD493D"/>
    <w:rsid w:val="00FE0BED"/>
    <w:rsid w:val="00FE0EB5"/>
    <w:rsid w:val="00FE3161"/>
    <w:rsid w:val="00FE3A2E"/>
    <w:rsid w:val="00FE5B62"/>
    <w:rsid w:val="00FE6833"/>
    <w:rsid w:val="00FE7E98"/>
    <w:rsid w:val="00FF37A9"/>
    <w:rsid w:val="00FF613C"/>
    <w:rsid w:val="00FF6C56"/>
    <w:rsid w:val="7B0475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styleId="8">
    <w:name w:val="Hyperlink"/>
    <w:uiPriority w:val="99"/>
    <w:rPr>
      <w:rFonts w:cs="Times New Roman"/>
      <w:color w:val="0000FF"/>
      <w:u w:val="single"/>
    </w:rPr>
  </w:style>
  <w:style w:type="character" w:customStyle="1" w:styleId="9">
    <w:name w:val="访问过的超链接1"/>
    <w:uiPriority w:val="99"/>
    <w:rPr>
      <w:color w:val="800080"/>
      <w:u w:val="single"/>
    </w:rPr>
  </w:style>
  <w:style w:type="character" w:customStyle="1" w:styleId="10">
    <w:name w:val="页脚 Char"/>
    <w:link w:val="3"/>
    <w:semiHidden/>
    <w:qFormat/>
    <w:uiPriority w:val="99"/>
    <w:rPr>
      <w:rFonts w:ascii="Calibri" w:hAnsi="Calibri"/>
      <w:sz w:val="18"/>
      <w:szCs w:val="18"/>
    </w:rPr>
  </w:style>
  <w:style w:type="character" w:customStyle="1" w:styleId="11">
    <w:name w:val="批注框文本 Char"/>
    <w:link w:val="2"/>
    <w:semiHidden/>
    <w:qFormat/>
    <w:uiPriority w:val="99"/>
    <w:rPr>
      <w:rFonts w:ascii="Calibri" w:hAnsi="Calibri"/>
      <w:sz w:val="0"/>
      <w:szCs w:val="0"/>
    </w:rPr>
  </w:style>
  <w:style w:type="character" w:customStyle="1" w:styleId="12">
    <w:name w:val="页眉 Char"/>
    <w:link w:val="4"/>
    <w:qFormat/>
    <w:locked/>
    <w:uiPriority w:val="99"/>
    <w:rPr>
      <w:rFonts w:ascii="Calibri" w:hAnsi="Calibri"/>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499</Words>
  <Characters>2846</Characters>
  <Lines>23</Lines>
  <Paragraphs>6</Paragraphs>
  <TotalTime>353</TotalTime>
  <ScaleCrop>false</ScaleCrop>
  <LinksUpToDate>false</LinksUpToDate>
  <CharactersWithSpaces>3339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2019-01-01T00:36:00Z</dcterms:created>
  <dc:creator>谢斐</dc:creator>
  <cp:lastModifiedBy>Administrator</cp:lastModifiedBy>
  <cp:lastPrinted>2019-02-25T08:05:00Z</cp:lastPrinted>
  <dcterms:modified xsi:type="dcterms:W3CDTF">2021-06-02T09:03:54Z</dcterms:modified>
  <dc:title>2017年度省级部门预算公开参考格式</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