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jc w:val="center"/>
        <w:rPr>
          <w:rFonts w:ascii="黑体" w:eastAsia="黑体" w:hAnsi="黑体"/>
          <w:sz w:val="52"/>
          <w:szCs w:val="52"/>
        </w:rPr>
      </w:pPr>
      <w:r>
        <w:rPr>
          <w:rFonts w:ascii="黑体" w:eastAsia="黑体" w:hAnsi="黑体" w:cs="黑体"/>
          <w:sz w:val="52"/>
          <w:szCs w:val="52"/>
        </w:rPr>
        <w:t>2018</w:t>
      </w:r>
      <w:r>
        <w:rPr>
          <w:rFonts w:ascii="黑体" w:eastAsia="黑体" w:hAnsi="黑体" w:cs="黑体" w:hint="eastAsia"/>
          <w:sz w:val="52"/>
          <w:szCs w:val="52"/>
        </w:rPr>
        <w:t>年度</w:t>
      </w:r>
    </w:p>
    <w:p w:rsidR="009921A8" w:rsidRDefault="009921A8" w:rsidP="00C50624">
      <w:pPr>
        <w:jc w:val="center"/>
        <w:rPr>
          <w:rFonts w:ascii="黑体" w:eastAsia="黑体" w:hAnsi="黑体" w:cs="黑体"/>
          <w:sz w:val="52"/>
          <w:szCs w:val="52"/>
        </w:rPr>
      </w:pPr>
      <w:r>
        <w:rPr>
          <w:rFonts w:ascii="黑体" w:eastAsia="黑体" w:hAnsi="黑体" w:cs="黑体" w:hint="eastAsia"/>
          <w:sz w:val="52"/>
          <w:szCs w:val="52"/>
        </w:rPr>
        <w:t>新乡市大东区建设发展办公室</w:t>
      </w:r>
      <w:r>
        <w:rPr>
          <w:rFonts w:ascii="黑体" w:eastAsia="黑体" w:hAnsi="黑体" w:cs="黑体"/>
          <w:sz w:val="52"/>
          <w:szCs w:val="52"/>
        </w:rPr>
        <w:t xml:space="preserve"> </w:t>
      </w:r>
    </w:p>
    <w:p w:rsidR="009921A8" w:rsidRDefault="009921A8" w:rsidP="00C50624">
      <w:pPr>
        <w:jc w:val="center"/>
        <w:rPr>
          <w:rFonts w:ascii="黑体" w:eastAsia="黑体" w:hAnsi="黑体"/>
          <w:sz w:val="52"/>
          <w:szCs w:val="52"/>
        </w:rPr>
      </w:pPr>
      <w:r>
        <w:rPr>
          <w:rFonts w:ascii="黑体" w:eastAsia="黑体" w:hAnsi="黑体" w:cs="黑体" w:hint="eastAsia"/>
          <w:sz w:val="52"/>
          <w:szCs w:val="52"/>
        </w:rPr>
        <w:t>部门决算</w:t>
      </w:r>
    </w:p>
    <w:p w:rsidR="009921A8" w:rsidRDefault="009921A8" w:rsidP="00C50624">
      <w:pPr>
        <w:jc w:val="center"/>
        <w:rPr>
          <w:rFonts w:ascii="黑体" w:eastAsia="黑体" w:hAnsi="黑体"/>
          <w:sz w:val="52"/>
          <w:szCs w:val="52"/>
        </w:rPr>
      </w:pPr>
    </w:p>
    <w:p w:rsidR="009921A8" w:rsidRDefault="009921A8" w:rsidP="00C50624">
      <w:pPr>
        <w:jc w:val="center"/>
        <w:rPr>
          <w:rFonts w:ascii="黑体" w:eastAsia="黑体" w:hAnsi="黑体"/>
          <w:sz w:val="52"/>
          <w:szCs w:val="52"/>
        </w:rPr>
      </w:pPr>
    </w:p>
    <w:p w:rsidR="009921A8" w:rsidRDefault="009921A8" w:rsidP="00C50624">
      <w:pPr>
        <w:jc w:val="center"/>
        <w:rPr>
          <w:rFonts w:ascii="黑体" w:eastAsia="黑体" w:hAnsi="黑体"/>
          <w:sz w:val="52"/>
          <w:szCs w:val="52"/>
        </w:rPr>
      </w:pPr>
    </w:p>
    <w:p w:rsidR="009921A8" w:rsidRDefault="009921A8" w:rsidP="00C50624">
      <w:pPr>
        <w:jc w:val="center"/>
        <w:rPr>
          <w:rFonts w:ascii="黑体" w:eastAsia="黑体" w:hAnsi="黑体"/>
          <w:sz w:val="52"/>
          <w:szCs w:val="52"/>
        </w:rPr>
      </w:pPr>
    </w:p>
    <w:p w:rsidR="009921A8" w:rsidRDefault="009921A8" w:rsidP="00C50624">
      <w:pPr>
        <w:jc w:val="center"/>
        <w:rPr>
          <w:rFonts w:ascii="黑体" w:eastAsia="黑体" w:hAnsi="黑体"/>
          <w:sz w:val="52"/>
          <w:szCs w:val="52"/>
        </w:rPr>
      </w:pPr>
    </w:p>
    <w:p w:rsidR="009921A8" w:rsidRDefault="009921A8" w:rsidP="00C50624">
      <w:pPr>
        <w:jc w:val="center"/>
        <w:rPr>
          <w:rFonts w:ascii="黑体" w:eastAsia="黑体" w:hAnsi="黑体"/>
          <w:sz w:val="52"/>
          <w:szCs w:val="52"/>
        </w:rPr>
      </w:pPr>
    </w:p>
    <w:p w:rsidR="009921A8" w:rsidRDefault="009921A8" w:rsidP="00C50624">
      <w:pPr>
        <w:jc w:val="center"/>
        <w:rPr>
          <w:rFonts w:ascii="黑体" w:eastAsia="黑体" w:hAnsi="黑体"/>
          <w:sz w:val="32"/>
          <w:szCs w:val="32"/>
        </w:rPr>
        <w:sectPr w:rsidR="009921A8">
          <w:head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9921A8" w:rsidRDefault="009921A8" w:rsidP="00C50624">
      <w:pPr>
        <w:jc w:val="center"/>
        <w:rPr>
          <w:rFonts w:ascii="黑体" w:eastAsia="黑体" w:hAnsi="黑体"/>
          <w:sz w:val="36"/>
          <w:szCs w:val="36"/>
        </w:rPr>
      </w:pPr>
      <w:r>
        <w:rPr>
          <w:rFonts w:ascii="黑体" w:eastAsia="黑体" w:hAnsi="黑体" w:cs="黑体" w:hint="eastAsia"/>
          <w:sz w:val="36"/>
          <w:szCs w:val="36"/>
        </w:rPr>
        <w:t>目　　录</w:t>
      </w:r>
    </w:p>
    <w:p w:rsidR="009921A8" w:rsidRDefault="009921A8" w:rsidP="00C50624">
      <w:pPr>
        <w:jc w:val="left"/>
        <w:rPr>
          <w:rFonts w:ascii="黑体" w:eastAsia="黑体" w:hAnsi="黑体"/>
          <w:sz w:val="32"/>
          <w:szCs w:val="32"/>
        </w:rPr>
      </w:pPr>
      <w:r>
        <w:rPr>
          <w:rFonts w:ascii="黑体" w:eastAsia="黑体" w:hAnsi="黑体" w:cs="黑体" w:hint="eastAsia"/>
          <w:sz w:val="32"/>
          <w:szCs w:val="32"/>
        </w:rPr>
        <w:t>第一部分　　新乡市大东区建设发展办公室概况</w:t>
      </w:r>
    </w:p>
    <w:p w:rsidR="009921A8" w:rsidRDefault="009921A8" w:rsidP="00A0031C">
      <w:pPr>
        <w:numPr>
          <w:ilvl w:val="0"/>
          <w:numId w:val="1"/>
        </w:numPr>
        <w:ind w:firstLineChars="200" w:firstLine="31680"/>
        <w:jc w:val="left"/>
        <w:rPr>
          <w:rFonts w:ascii="宋体"/>
          <w:sz w:val="32"/>
          <w:szCs w:val="32"/>
        </w:rPr>
      </w:pPr>
      <w:r>
        <w:rPr>
          <w:rFonts w:ascii="宋体" w:hAnsi="宋体" w:cs="宋体" w:hint="eastAsia"/>
          <w:sz w:val="32"/>
          <w:szCs w:val="32"/>
        </w:rPr>
        <w:t>部门职责</w:t>
      </w:r>
    </w:p>
    <w:p w:rsidR="009921A8" w:rsidRDefault="009921A8" w:rsidP="00A0031C">
      <w:pPr>
        <w:numPr>
          <w:ilvl w:val="0"/>
          <w:numId w:val="1"/>
        </w:numPr>
        <w:ind w:firstLineChars="200" w:firstLine="31680"/>
        <w:jc w:val="left"/>
        <w:rPr>
          <w:rFonts w:ascii="宋体"/>
          <w:sz w:val="32"/>
          <w:szCs w:val="32"/>
        </w:rPr>
      </w:pPr>
      <w:r>
        <w:rPr>
          <w:rFonts w:ascii="宋体" w:hAnsi="宋体" w:cs="宋体" w:hint="eastAsia"/>
          <w:sz w:val="32"/>
          <w:szCs w:val="32"/>
        </w:rPr>
        <w:t>机构设置</w:t>
      </w:r>
    </w:p>
    <w:p w:rsidR="009921A8" w:rsidRDefault="009921A8" w:rsidP="00C50624">
      <w:pPr>
        <w:jc w:val="left"/>
        <w:rPr>
          <w:rFonts w:ascii="黑体" w:eastAsia="黑体" w:hAnsi="黑体"/>
          <w:sz w:val="32"/>
          <w:szCs w:val="32"/>
        </w:rPr>
      </w:pPr>
      <w:r>
        <w:rPr>
          <w:rFonts w:ascii="黑体" w:eastAsia="黑体" w:hAnsi="黑体" w:cs="黑体" w:hint="eastAsia"/>
          <w:sz w:val="32"/>
          <w:szCs w:val="32"/>
        </w:rPr>
        <w:t xml:space="preserve">第二部分　　</w:t>
      </w:r>
      <w:r>
        <w:rPr>
          <w:rFonts w:ascii="黑体" w:eastAsia="黑体" w:hAnsi="黑体" w:cs="黑体"/>
          <w:sz w:val="32"/>
          <w:szCs w:val="32"/>
        </w:rPr>
        <w:t>2018</w:t>
      </w:r>
      <w:r>
        <w:rPr>
          <w:rFonts w:ascii="黑体" w:eastAsia="黑体" w:hAnsi="黑体" w:cs="黑体" w:hint="eastAsia"/>
          <w:sz w:val="32"/>
          <w:szCs w:val="32"/>
        </w:rPr>
        <w:t>年度部门决算表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一、收入支出决算总表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二、收入决算表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三、支出决算表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四、财政拨款收入支出决算总表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五、一般公共预算财政拨款支出决算表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六、一般公共预算财政拨款基本支出决算表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七、一般公共预算财政拨款“三公”经费支出决算表</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八、政府性基金预算财政拨款收入支出决算表</w:t>
      </w:r>
    </w:p>
    <w:p w:rsidR="009921A8" w:rsidRDefault="009921A8" w:rsidP="00C50624">
      <w:pPr>
        <w:jc w:val="left"/>
        <w:rPr>
          <w:rFonts w:ascii="黑体" w:eastAsia="黑体" w:hAnsi="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2018</w:t>
      </w:r>
      <w:r>
        <w:rPr>
          <w:rFonts w:ascii="黑体" w:eastAsia="黑体" w:hAnsi="黑体" w:cs="黑体" w:hint="eastAsia"/>
          <w:sz w:val="32"/>
          <w:szCs w:val="32"/>
        </w:rPr>
        <w:t>年度部门决算情况说明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一、收入支出决算总体情况说明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二、收入决算情况说明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三、支出决算情况说明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四、财政拨款收入支出决算总体情况说明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五、一般公共预算财政拨款支出决算情况说明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六、一般公共预算财政拨款基本支出决算情况说明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七、一般公共预算财政拨款“三公”经费支出决算情况说明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八、预算绩效情况说明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九、政府性基金预算财政拨款支出决算情况说明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十、机关运行经费支出情况说明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十一、政府采购支出情况说明</w:t>
      </w:r>
    </w:p>
    <w:p w:rsidR="009921A8" w:rsidRDefault="009921A8" w:rsidP="00A0031C">
      <w:pPr>
        <w:ind w:firstLineChars="200" w:firstLine="31680"/>
        <w:jc w:val="left"/>
        <w:rPr>
          <w:rFonts w:ascii="宋体"/>
          <w:sz w:val="32"/>
          <w:szCs w:val="32"/>
        </w:rPr>
      </w:pPr>
      <w:r>
        <w:rPr>
          <w:rFonts w:ascii="宋体" w:hAnsi="宋体" w:cs="宋体" w:hint="eastAsia"/>
          <w:sz w:val="32"/>
          <w:szCs w:val="32"/>
        </w:rPr>
        <w:t>十二、国有资产占用情况说明</w:t>
      </w:r>
    </w:p>
    <w:p w:rsidR="009921A8" w:rsidRDefault="009921A8" w:rsidP="00C50624">
      <w:pPr>
        <w:jc w:val="left"/>
        <w:rPr>
          <w:rFonts w:ascii="黑体" w:eastAsia="黑体" w:hAnsi="黑体"/>
          <w:sz w:val="32"/>
          <w:szCs w:val="32"/>
        </w:rPr>
      </w:pPr>
      <w:r>
        <w:rPr>
          <w:rFonts w:ascii="黑体" w:eastAsia="黑体" w:hAnsi="黑体" w:cs="黑体" w:hint="eastAsia"/>
          <w:sz w:val="32"/>
          <w:szCs w:val="32"/>
        </w:rPr>
        <w:t>第四部分　　名词解释</w:t>
      </w:r>
    </w:p>
    <w:p w:rsidR="009921A8" w:rsidRDefault="009921A8" w:rsidP="00A0031C">
      <w:pPr>
        <w:ind w:firstLineChars="200" w:firstLine="31680"/>
        <w:jc w:val="left"/>
        <w:rPr>
          <w:rFonts w:ascii="宋体"/>
          <w:sz w:val="32"/>
          <w:szCs w:val="32"/>
        </w:rPr>
      </w:pPr>
    </w:p>
    <w:p w:rsidR="009921A8" w:rsidRDefault="009921A8" w:rsidP="00C50624">
      <w:pPr>
        <w:jc w:val="left"/>
        <w:rPr>
          <w:rFonts w:ascii="黑体" w:eastAsia="黑体" w:hAnsi="黑体"/>
          <w:sz w:val="32"/>
          <w:szCs w:val="32"/>
        </w:rPr>
        <w:sectPr w:rsidR="009921A8">
          <w:footerReference w:type="default" r:id="rId8"/>
          <w:pgSz w:w="11906" w:h="16838"/>
          <w:pgMar w:top="1440" w:right="1531" w:bottom="1440" w:left="1587" w:header="850" w:footer="992" w:gutter="0"/>
          <w:pgNumType w:fmt="numberInDash" w:start="1"/>
          <w:cols w:space="720"/>
          <w:docGrid w:type="lines" w:linePitch="317"/>
        </w:sect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center"/>
        <w:outlineLvl w:val="0"/>
        <w:rPr>
          <w:rFonts w:ascii="黑体" w:eastAsia="黑体" w:hAnsi="黑体"/>
          <w:sz w:val="48"/>
          <w:szCs w:val="48"/>
        </w:rPr>
      </w:pPr>
      <w:r>
        <w:rPr>
          <w:rFonts w:ascii="黑体" w:eastAsia="黑体" w:hAnsi="黑体" w:cs="黑体" w:hint="eastAsia"/>
          <w:sz w:val="48"/>
          <w:szCs w:val="48"/>
        </w:rPr>
        <w:t>第一部分</w:t>
      </w:r>
      <w:r>
        <w:rPr>
          <w:rFonts w:ascii="黑体" w:eastAsia="黑体" w:hAnsi="黑体" w:cs="黑体"/>
          <w:sz w:val="48"/>
          <w:szCs w:val="48"/>
        </w:rPr>
        <w:t xml:space="preserve">  </w:t>
      </w:r>
      <w:r>
        <w:rPr>
          <w:rFonts w:ascii="黑体" w:eastAsia="黑体" w:hAnsi="黑体" w:cs="黑体" w:hint="eastAsia"/>
          <w:sz w:val="48"/>
          <w:szCs w:val="48"/>
        </w:rPr>
        <w:t>新乡市大东区建设发展</w:t>
      </w:r>
    </w:p>
    <w:p w:rsidR="009921A8" w:rsidRDefault="009921A8" w:rsidP="00C50624">
      <w:pPr>
        <w:widowControl/>
        <w:jc w:val="center"/>
        <w:outlineLvl w:val="0"/>
        <w:rPr>
          <w:rFonts w:ascii="黑体" w:eastAsia="黑体" w:hAnsi="宋体"/>
          <w:kern w:val="0"/>
          <w:sz w:val="28"/>
          <w:szCs w:val="28"/>
        </w:rPr>
      </w:pPr>
      <w:r>
        <w:rPr>
          <w:rFonts w:ascii="黑体" w:eastAsia="黑体" w:hAnsi="黑体" w:cs="黑体"/>
          <w:sz w:val="48"/>
          <w:szCs w:val="48"/>
        </w:rPr>
        <w:t xml:space="preserve">        </w:t>
      </w:r>
      <w:r>
        <w:rPr>
          <w:rFonts w:ascii="黑体" w:eastAsia="黑体" w:hAnsi="黑体" w:cs="黑体" w:hint="eastAsia"/>
          <w:sz w:val="48"/>
          <w:szCs w:val="48"/>
        </w:rPr>
        <w:t>办公室概况</w:t>
      </w: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sectPr w:rsidR="009921A8">
          <w:pgSz w:w="11906" w:h="16838"/>
          <w:pgMar w:top="1440" w:right="1800" w:bottom="1440" w:left="1800" w:header="720" w:footer="720" w:gutter="0"/>
          <w:pgNumType w:fmt="numberInDash"/>
          <w:cols w:space="720"/>
          <w:docGrid w:type="lines" w:linePitch="312"/>
        </w:sectPr>
      </w:pPr>
    </w:p>
    <w:p w:rsidR="009921A8" w:rsidRDefault="009921A8" w:rsidP="00A0031C">
      <w:pPr>
        <w:widowControl/>
        <w:ind w:firstLineChars="200" w:firstLine="31680"/>
        <w:jc w:val="left"/>
        <w:outlineLvl w:val="1"/>
        <w:rPr>
          <w:rFonts w:ascii="黑体" w:eastAsia="黑体" w:hAnsi="黑体"/>
          <w:kern w:val="0"/>
          <w:sz w:val="32"/>
          <w:szCs w:val="32"/>
        </w:rPr>
      </w:pPr>
      <w:r>
        <w:rPr>
          <w:rFonts w:ascii="黑体" w:eastAsia="黑体" w:hAnsi="黑体" w:cs="黑体" w:hint="eastAsia"/>
          <w:kern w:val="0"/>
          <w:sz w:val="32"/>
          <w:szCs w:val="32"/>
        </w:rPr>
        <w:t>一、部门</w:t>
      </w:r>
      <w:r>
        <w:rPr>
          <w:rFonts w:ascii="黑体" w:eastAsia="黑体" w:hAnsi="黑体" w:cs="黑体" w:hint="eastAsia"/>
          <w:sz w:val="32"/>
          <w:szCs w:val="32"/>
        </w:rPr>
        <w:t>职责</w:t>
      </w:r>
    </w:p>
    <w:p w:rsidR="009921A8" w:rsidRDefault="009921A8" w:rsidP="00A0031C">
      <w:pPr>
        <w:widowControl/>
        <w:ind w:firstLineChars="200" w:firstLine="31680"/>
        <w:jc w:val="left"/>
        <w:outlineLvl w:val="1"/>
        <w:rPr>
          <w:rFonts w:ascii="仿宋_GB2312" w:eastAsia="仿宋_GB2312" w:hAnsi="仿宋_GB2312"/>
          <w:sz w:val="32"/>
          <w:szCs w:val="32"/>
        </w:rPr>
      </w:pPr>
      <w:r>
        <w:rPr>
          <w:rFonts w:ascii="仿宋_GB2312" w:eastAsia="仿宋_GB2312" w:hAnsi="仿宋_GB2312" w:cs="仿宋_GB2312" w:hint="eastAsia"/>
          <w:sz w:val="32"/>
          <w:szCs w:val="32"/>
        </w:rPr>
        <w:t>大东区办负责贯彻落实新乡市委、市政府有关新乡市商务中心区建设的相关政策规定并监督执行；承担新乡市商务中心区建设规划编制、调整并组织实施；负责市商务中心区招商及项目后续服务、基础设施建设、综合协调、统计等工作；根据市委、市政府要求，综合协调大东区区域内各经济功能区规划衔接、理顺管理体制机制、共用公共设施、共享资源、共同发展等。</w:t>
      </w:r>
    </w:p>
    <w:p w:rsidR="009921A8" w:rsidRDefault="009921A8" w:rsidP="00A0031C">
      <w:pPr>
        <w:widowControl/>
        <w:ind w:firstLineChars="200" w:firstLine="31680"/>
        <w:jc w:val="left"/>
        <w:outlineLvl w:val="1"/>
        <w:rPr>
          <w:rFonts w:ascii="黑体" w:eastAsia="黑体" w:hAnsi="黑体"/>
          <w:kern w:val="0"/>
          <w:sz w:val="32"/>
          <w:szCs w:val="32"/>
        </w:rPr>
      </w:pPr>
      <w:r>
        <w:rPr>
          <w:rFonts w:ascii="黑体" w:eastAsia="黑体" w:hAnsi="黑体" w:cs="黑体" w:hint="eastAsia"/>
          <w:kern w:val="0"/>
          <w:sz w:val="32"/>
          <w:szCs w:val="32"/>
        </w:rPr>
        <w:t>二、机构设置</w:t>
      </w:r>
    </w:p>
    <w:p w:rsidR="009921A8" w:rsidRDefault="009921A8" w:rsidP="00A0031C">
      <w:pPr>
        <w:widowControl/>
        <w:ind w:firstLineChars="200" w:firstLine="31680"/>
        <w:jc w:val="left"/>
        <w:rPr>
          <w:rFonts w:ascii="仿宋_GB2312" w:eastAsia="仿宋_GB2312" w:hAnsi="仿宋_GB2312"/>
          <w:kern w:val="0"/>
          <w:sz w:val="32"/>
          <w:szCs w:val="32"/>
        </w:rPr>
      </w:pPr>
      <w:r>
        <w:rPr>
          <w:rFonts w:ascii="仿宋_GB2312" w:eastAsia="仿宋_GB2312" w:hAnsi="仿宋_GB2312" w:cs="仿宋_GB2312" w:hint="eastAsia"/>
          <w:kern w:val="0"/>
          <w:sz w:val="32"/>
          <w:szCs w:val="32"/>
        </w:rPr>
        <w:t>大东区办内设机构</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个，包括：新乡市大东区建设发展办公室。另设有机关党支部。</w:t>
      </w:r>
    </w:p>
    <w:p w:rsidR="009921A8" w:rsidRDefault="009921A8" w:rsidP="00A0031C">
      <w:pPr>
        <w:widowControl/>
        <w:ind w:firstLineChars="200" w:firstLine="31680"/>
        <w:jc w:val="left"/>
        <w:rPr>
          <w:rFonts w:ascii="仿宋_GB2312" w:eastAsia="仿宋_GB2312" w:hAnsi="仿宋_GB2312"/>
          <w:kern w:val="0"/>
          <w:sz w:val="32"/>
          <w:szCs w:val="32"/>
        </w:rPr>
      </w:pPr>
      <w:r>
        <w:rPr>
          <w:rFonts w:ascii="仿宋_GB2312" w:eastAsia="仿宋_GB2312" w:hAnsi="仿宋_GB2312" w:cs="仿宋_GB2312" w:hint="eastAsia"/>
          <w:kern w:val="0"/>
          <w:sz w:val="32"/>
          <w:szCs w:val="32"/>
        </w:rPr>
        <w:t>从决算单位构成看，大东区办部门决算包括：本级决算。</w:t>
      </w:r>
    </w:p>
    <w:p w:rsidR="009921A8" w:rsidRDefault="009921A8" w:rsidP="00A0031C">
      <w:pPr>
        <w:widowControl/>
        <w:ind w:firstLineChars="200" w:firstLine="31680"/>
        <w:jc w:val="left"/>
        <w:rPr>
          <w:rFonts w:ascii="仿宋_GB2312" w:eastAsia="仿宋_GB2312" w:hAnsi="仿宋_GB2312"/>
          <w:kern w:val="0"/>
          <w:sz w:val="32"/>
          <w:szCs w:val="32"/>
        </w:rPr>
      </w:pPr>
      <w:r>
        <w:rPr>
          <w:rFonts w:ascii="仿宋_GB2312" w:eastAsia="仿宋_GB2312" w:hAnsi="仿宋_GB2312" w:cs="仿宋_GB2312" w:hint="eastAsia"/>
          <w:kern w:val="0"/>
          <w:sz w:val="32"/>
          <w:szCs w:val="32"/>
        </w:rPr>
        <w:t>纳入本部门</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年度部门决算编制范围的单位共</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个，具体是：</w:t>
      </w:r>
    </w:p>
    <w:p w:rsidR="009921A8" w:rsidRDefault="009921A8" w:rsidP="00A0031C">
      <w:pPr>
        <w:widowControl/>
        <w:ind w:firstLineChars="200" w:firstLine="31680"/>
        <w:jc w:val="left"/>
        <w:rPr>
          <w:rFonts w:ascii="仿宋_GB2312" w:eastAsia="仿宋_GB2312" w:hAnsi="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大东区建设发展办公室本级</w:t>
      </w:r>
    </w:p>
    <w:p w:rsidR="009921A8" w:rsidRDefault="009921A8" w:rsidP="00A0031C">
      <w:pPr>
        <w:widowControl/>
        <w:ind w:firstLineChars="200" w:firstLine="31680"/>
        <w:jc w:val="left"/>
        <w:rPr>
          <w:rFonts w:ascii="仿宋_GB2312" w:eastAsia="仿宋_GB2312" w:hAnsi="仿宋_GB2312"/>
          <w:kern w:val="0"/>
          <w:sz w:val="32"/>
          <w:szCs w:val="32"/>
        </w:rPr>
      </w:pPr>
    </w:p>
    <w:p w:rsidR="009921A8" w:rsidRDefault="009921A8" w:rsidP="00C50624">
      <w:pPr>
        <w:widowControl/>
        <w:jc w:val="left"/>
        <w:rPr>
          <w:rFonts w:ascii="黑体" w:eastAsia="黑体" w:hAnsi="宋体"/>
          <w:kern w:val="0"/>
          <w:sz w:val="28"/>
          <w:szCs w:val="28"/>
        </w:rPr>
        <w:sectPr w:rsidR="009921A8">
          <w:pgSz w:w="11906" w:h="16838"/>
          <w:pgMar w:top="1440" w:right="1800" w:bottom="1440" w:left="1800" w:header="720" w:footer="720" w:gutter="0"/>
          <w:pgNumType w:fmt="numberInDash"/>
          <w:cols w:space="720"/>
          <w:docGrid w:type="lines" w:linePitch="312"/>
        </w:sect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jc w:val="center"/>
        <w:outlineLvl w:val="0"/>
        <w:rPr>
          <w:rFonts w:ascii="黑体" w:eastAsia="黑体" w:hAnsi="黑体"/>
          <w:sz w:val="48"/>
          <w:szCs w:val="48"/>
        </w:rPr>
      </w:pPr>
      <w:r>
        <w:rPr>
          <w:rFonts w:ascii="黑体" w:eastAsia="黑体" w:hAnsi="黑体" w:cs="黑体" w:hint="eastAsia"/>
          <w:sz w:val="48"/>
          <w:szCs w:val="48"/>
        </w:rPr>
        <w:t>第二部分</w:t>
      </w:r>
      <w:r>
        <w:rPr>
          <w:rFonts w:ascii="黑体" w:eastAsia="黑体" w:hAnsi="黑体" w:cs="黑体"/>
          <w:sz w:val="48"/>
          <w:szCs w:val="48"/>
        </w:rPr>
        <w:t xml:space="preserve">  2018</w:t>
      </w:r>
      <w:r>
        <w:rPr>
          <w:rFonts w:ascii="黑体" w:eastAsia="黑体" w:hAnsi="黑体" w:cs="黑体" w:hint="eastAsia"/>
          <w:sz w:val="48"/>
          <w:szCs w:val="48"/>
        </w:rPr>
        <w:t>年度部门决算表</w:t>
      </w: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sectPr w:rsidR="009921A8">
          <w:pgSz w:w="11906" w:h="16838"/>
          <w:pgMar w:top="1440" w:right="1800" w:bottom="1440" w:left="180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4279"/>
        <w:gridCol w:w="825"/>
        <w:gridCol w:w="1764"/>
        <w:gridCol w:w="4671"/>
        <w:gridCol w:w="750"/>
        <w:gridCol w:w="1699"/>
      </w:tblGrid>
      <w:tr w:rsidR="009921A8">
        <w:trPr>
          <w:trHeight w:val="360"/>
        </w:trPr>
        <w:tc>
          <w:tcPr>
            <w:tcW w:w="13988" w:type="dxa"/>
            <w:gridSpan w:val="6"/>
            <w:tcBorders>
              <w:top w:val="nil"/>
              <w:left w:val="nil"/>
              <w:bottom w:val="nil"/>
              <w:right w:val="nil"/>
            </w:tcBorders>
            <w:noWrap/>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收入支出决算总表</w:t>
            </w:r>
          </w:p>
        </w:tc>
      </w:tr>
      <w:tr w:rsidR="009921A8">
        <w:trPr>
          <w:trHeight w:val="199"/>
        </w:trPr>
        <w:tc>
          <w:tcPr>
            <w:tcW w:w="4279"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9921A8">
        <w:trPr>
          <w:trHeight w:val="300"/>
        </w:trPr>
        <w:tc>
          <w:tcPr>
            <w:tcW w:w="4279"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部门：新乡市大东区建设发展办公室</w:t>
            </w:r>
          </w:p>
        </w:tc>
        <w:tc>
          <w:tcPr>
            <w:tcW w:w="825"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439"/>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支出</w:t>
            </w: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决算数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决算数</w:t>
            </w: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一、财政拨款收入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14</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二、上级补助收入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15</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三、事业收入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16</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四、经营收入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17</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五、附属单位上缴收入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五、教育支出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18</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六、其他收入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6</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六、科学技术支出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19</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7</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20</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8</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21</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9</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22</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ind w:firstLine="452"/>
              <w:jc w:val="right"/>
              <w:rPr>
                <w:rFonts w:ascii="宋体"/>
                <w:b/>
                <w:bCs/>
                <w:color w:val="000000"/>
                <w:sz w:val="20"/>
                <w:szCs w:val="20"/>
              </w:rPr>
            </w:pPr>
            <w:r>
              <w:rPr>
                <w:rFonts w:ascii="宋体" w:hAnsi="宋体" w:cs="宋体"/>
                <w:color w:val="000000"/>
                <w:sz w:val="20"/>
                <w:szCs w:val="20"/>
              </w:rPr>
              <w:t>54.96</w:t>
            </w: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用事业基金弥补收支差额</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10</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23</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11</w:t>
            </w:r>
          </w:p>
        </w:tc>
        <w:tc>
          <w:tcPr>
            <w:tcW w:w="17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24</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000000"/>
              <w:left w:val="single" w:sz="8" w:space="0" w:color="000000"/>
              <w:bottom w:val="single" w:sz="4" w:space="0" w:color="auto"/>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825"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12</w:t>
            </w:r>
          </w:p>
        </w:tc>
        <w:tc>
          <w:tcPr>
            <w:tcW w:w="1764"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671" w:type="dxa"/>
            <w:tcBorders>
              <w:top w:val="single" w:sz="4" w:space="0" w:color="000000"/>
              <w:left w:val="single" w:sz="4" w:space="0" w:color="000000"/>
              <w:bottom w:val="single" w:sz="4" w:space="0" w:color="auto"/>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50"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25</w:t>
            </w:r>
          </w:p>
        </w:tc>
        <w:tc>
          <w:tcPr>
            <w:tcW w:w="1699" w:type="dxa"/>
            <w:tcBorders>
              <w:top w:val="single" w:sz="4" w:space="0" w:color="000000"/>
              <w:left w:val="nil"/>
              <w:bottom w:val="single" w:sz="4" w:space="0" w:color="auto"/>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39"/>
        </w:trPr>
        <w:tc>
          <w:tcPr>
            <w:tcW w:w="4279" w:type="dxa"/>
            <w:tcBorders>
              <w:top w:val="single" w:sz="4" w:space="0" w:color="auto"/>
              <w:left w:val="single" w:sz="8" w:space="0" w:color="000000"/>
              <w:bottom w:val="single" w:sz="8" w:space="0" w:color="000000"/>
              <w:right w:val="nil"/>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总计</w:t>
            </w:r>
          </w:p>
        </w:tc>
        <w:tc>
          <w:tcPr>
            <w:tcW w:w="825"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13</w:t>
            </w:r>
          </w:p>
        </w:tc>
        <w:tc>
          <w:tcPr>
            <w:tcW w:w="1764" w:type="dxa"/>
            <w:tcBorders>
              <w:top w:val="single" w:sz="4" w:space="0" w:color="auto"/>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4671" w:type="dxa"/>
            <w:tcBorders>
              <w:top w:val="single" w:sz="4" w:space="0" w:color="auto"/>
              <w:left w:val="single" w:sz="4" w:space="0" w:color="000000"/>
              <w:bottom w:val="single" w:sz="8" w:space="0" w:color="000000"/>
              <w:right w:val="nil"/>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总计</w:t>
            </w:r>
          </w:p>
        </w:tc>
        <w:tc>
          <w:tcPr>
            <w:tcW w:w="750"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26</w:t>
            </w:r>
          </w:p>
        </w:tc>
        <w:tc>
          <w:tcPr>
            <w:tcW w:w="1699" w:type="dxa"/>
            <w:tcBorders>
              <w:top w:val="single" w:sz="4" w:space="0" w:color="auto"/>
              <w:left w:val="nil"/>
              <w:bottom w:val="single" w:sz="8"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b/>
                <w:bCs/>
                <w:color w:val="000000"/>
                <w:sz w:val="20"/>
                <w:szCs w:val="20"/>
              </w:rPr>
            </w:pPr>
            <w:r>
              <w:rPr>
                <w:rFonts w:ascii="宋体" w:hAnsi="宋体" w:cs="宋体"/>
                <w:color w:val="000000"/>
                <w:sz w:val="20"/>
                <w:szCs w:val="20"/>
              </w:rPr>
              <w:t>54.96</w:t>
            </w:r>
          </w:p>
        </w:tc>
      </w:tr>
      <w:tr w:rsidR="009921A8">
        <w:trPr>
          <w:trHeight w:val="585"/>
        </w:trPr>
        <w:tc>
          <w:tcPr>
            <w:tcW w:w="13988" w:type="dxa"/>
            <w:gridSpan w:val="6"/>
            <w:tcBorders>
              <w:top w:val="single" w:sz="8" w:space="0" w:color="000000"/>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注：本表反映部门本年度的总收支和年末结转结余情况。本表金额转换为万元时，因四舍五入可能存在尾差。</w:t>
            </w:r>
          </w:p>
        </w:tc>
      </w:tr>
    </w:tbl>
    <w:p w:rsidR="009921A8" w:rsidRDefault="009921A8" w:rsidP="00C50624">
      <w:pPr>
        <w:rPr>
          <w:rFonts w:ascii="仿宋_GB2312" w:eastAsia="仿宋_GB2312" w:hAnsi="仿宋_GB2312"/>
          <w:sz w:val="32"/>
          <w:szCs w:val="32"/>
        </w:rPr>
        <w:sectPr w:rsidR="009921A8">
          <w:pgSz w:w="16838" w:h="11906" w:orient="landscape"/>
          <w:pgMar w:top="1134" w:right="1440" w:bottom="1134" w:left="144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1027"/>
        <w:gridCol w:w="59"/>
        <w:gridCol w:w="2341"/>
        <w:gridCol w:w="483"/>
        <w:gridCol w:w="927"/>
        <w:gridCol w:w="1755"/>
        <w:gridCol w:w="1725"/>
        <w:gridCol w:w="252"/>
        <w:gridCol w:w="978"/>
        <w:gridCol w:w="575"/>
        <w:gridCol w:w="655"/>
        <w:gridCol w:w="898"/>
        <w:gridCol w:w="812"/>
        <w:gridCol w:w="1358"/>
      </w:tblGrid>
      <w:tr w:rsidR="009921A8">
        <w:trPr>
          <w:trHeight w:val="435"/>
        </w:trPr>
        <w:tc>
          <w:tcPr>
            <w:tcW w:w="13845" w:type="dxa"/>
            <w:gridSpan w:val="14"/>
            <w:tcBorders>
              <w:top w:val="nil"/>
              <w:left w:val="nil"/>
              <w:bottom w:val="nil"/>
              <w:right w:val="nil"/>
            </w:tcBorders>
            <w:noWrap/>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收入决算表</w:t>
            </w:r>
          </w:p>
        </w:tc>
      </w:tr>
      <w:tr w:rsidR="009921A8">
        <w:trPr>
          <w:trHeight w:val="285"/>
        </w:trPr>
        <w:tc>
          <w:tcPr>
            <w:tcW w:w="1027"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34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483"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682"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25"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52"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9921A8">
        <w:trPr>
          <w:trHeight w:val="300"/>
        </w:trPr>
        <w:tc>
          <w:tcPr>
            <w:tcW w:w="1027"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部门：新乡</w:t>
            </w:r>
          </w:p>
        </w:tc>
        <w:tc>
          <w:tcPr>
            <w:tcW w:w="59"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34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tabs>
                <w:tab w:val="left" w:pos="225"/>
              </w:tabs>
              <w:jc w:val="left"/>
              <w:rPr>
                <w:rFonts w:ascii="宋体"/>
                <w:color w:val="000000"/>
                <w:sz w:val="20"/>
                <w:szCs w:val="20"/>
              </w:rPr>
            </w:pPr>
            <w:r>
              <w:rPr>
                <w:rFonts w:ascii="宋体" w:hAnsi="宋体" w:cs="宋体" w:hint="eastAsia"/>
                <w:color w:val="000000"/>
                <w:kern w:val="0"/>
                <w:sz w:val="20"/>
                <w:szCs w:val="20"/>
              </w:rPr>
              <w:t>市大东区建设</w:t>
            </w:r>
            <w:r>
              <w:rPr>
                <w:rFonts w:ascii="宋体" w:hAnsi="宋体" w:cs="宋体" w:hint="eastAsia"/>
                <w:color w:val="000000"/>
                <w:sz w:val="20"/>
                <w:szCs w:val="20"/>
              </w:rPr>
              <w:t>发展办公室</w:t>
            </w:r>
          </w:p>
        </w:tc>
        <w:tc>
          <w:tcPr>
            <w:tcW w:w="483"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ordWrap w:val="0"/>
              <w:jc w:val="right"/>
              <w:rPr>
                <w:rFonts w:ascii="宋体"/>
                <w:color w:val="000000"/>
                <w:sz w:val="20"/>
                <w:szCs w:val="20"/>
              </w:rPr>
            </w:pPr>
            <w:r>
              <w:rPr>
                <w:rFonts w:ascii="宋体" w:hAnsi="宋体" w:cs="宋体"/>
                <w:color w:val="000000"/>
                <w:sz w:val="20"/>
                <w:szCs w:val="20"/>
              </w:rPr>
              <w:t xml:space="preserve">     </w:t>
            </w:r>
          </w:p>
        </w:tc>
        <w:tc>
          <w:tcPr>
            <w:tcW w:w="2682"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25"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252"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450"/>
        </w:trPr>
        <w:tc>
          <w:tcPr>
            <w:tcW w:w="3427"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41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本年收入合计</w:t>
            </w:r>
          </w:p>
        </w:tc>
        <w:tc>
          <w:tcPr>
            <w:tcW w:w="1755"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财政拨款收入</w:t>
            </w:r>
          </w:p>
        </w:tc>
        <w:tc>
          <w:tcPr>
            <w:tcW w:w="172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上级补助收入</w:t>
            </w:r>
          </w:p>
        </w:tc>
        <w:tc>
          <w:tcPr>
            <w:tcW w:w="123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事业收入</w:t>
            </w:r>
          </w:p>
        </w:tc>
        <w:tc>
          <w:tcPr>
            <w:tcW w:w="123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经营收入</w:t>
            </w:r>
          </w:p>
        </w:tc>
        <w:tc>
          <w:tcPr>
            <w:tcW w:w="171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附属单位上缴收入</w:t>
            </w:r>
          </w:p>
        </w:tc>
        <w:tc>
          <w:tcPr>
            <w:tcW w:w="1358"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其他收入</w:t>
            </w:r>
          </w:p>
        </w:tc>
      </w:tr>
      <w:tr w:rsidR="009921A8">
        <w:trPr>
          <w:trHeight w:val="450"/>
        </w:trPr>
        <w:tc>
          <w:tcPr>
            <w:tcW w:w="1086"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kern w:val="0"/>
                <w:sz w:val="20"/>
                <w:szCs w:val="20"/>
              </w:rPr>
            </w:pPr>
            <w:r>
              <w:rPr>
                <w:rFonts w:ascii="宋体" w:hAnsi="宋体" w:cs="宋体" w:hint="eastAsia"/>
                <w:color w:val="000000"/>
                <w:kern w:val="0"/>
                <w:sz w:val="20"/>
                <w:szCs w:val="20"/>
              </w:rPr>
              <w:t>功能分类</w:t>
            </w:r>
          </w:p>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科目编码</w:t>
            </w:r>
          </w:p>
        </w:tc>
        <w:tc>
          <w:tcPr>
            <w:tcW w:w="2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141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755"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72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23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23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71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358"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1086"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234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41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755"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72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23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23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71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358"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3427" w:type="dxa"/>
            <w:gridSpan w:val="3"/>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栏次</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7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123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6</w:t>
            </w:r>
          </w:p>
        </w:tc>
        <w:tc>
          <w:tcPr>
            <w:tcW w:w="1358"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7</w:t>
            </w:r>
          </w:p>
        </w:tc>
      </w:tr>
      <w:tr w:rsidR="009921A8">
        <w:trPr>
          <w:trHeight w:val="450"/>
        </w:trPr>
        <w:tc>
          <w:tcPr>
            <w:tcW w:w="3427" w:type="dxa"/>
            <w:gridSpan w:val="3"/>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1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17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17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w:t>
            </w:r>
          </w:p>
        </w:tc>
        <w:tc>
          <w:tcPr>
            <w:tcW w:w="23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一般公共服务支出</w:t>
            </w:r>
          </w:p>
        </w:tc>
        <w:tc>
          <w:tcPr>
            <w:tcW w:w="1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17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17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20104</w:t>
            </w:r>
          </w:p>
        </w:tc>
        <w:tc>
          <w:tcPr>
            <w:tcW w:w="23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发展与改革事务</w:t>
            </w:r>
          </w:p>
        </w:tc>
        <w:tc>
          <w:tcPr>
            <w:tcW w:w="1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华文中宋" w:eastAsia="华文中宋" w:hAnsi="华文中宋" w:cs="华文中宋"/>
                <w:color w:val="000000"/>
                <w:sz w:val="20"/>
                <w:szCs w:val="20"/>
              </w:rPr>
            </w:pPr>
            <w:r>
              <w:rPr>
                <w:rFonts w:ascii="华文中宋" w:eastAsia="华文中宋" w:hAnsi="华文中宋" w:cs="华文中宋"/>
                <w:color w:val="000000"/>
                <w:sz w:val="20"/>
                <w:szCs w:val="20"/>
              </w:rPr>
              <w:t>48.96</w:t>
            </w:r>
          </w:p>
        </w:tc>
        <w:tc>
          <w:tcPr>
            <w:tcW w:w="17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华文中宋" w:eastAsia="华文中宋" w:hAnsi="华文中宋" w:cs="华文中宋"/>
                <w:color w:val="000000"/>
                <w:sz w:val="20"/>
                <w:szCs w:val="20"/>
              </w:rPr>
              <w:t>48.96</w:t>
            </w:r>
          </w:p>
        </w:tc>
        <w:tc>
          <w:tcPr>
            <w:tcW w:w="17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2010402</w:t>
            </w:r>
          </w:p>
        </w:tc>
        <w:tc>
          <w:tcPr>
            <w:tcW w:w="23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一般行政管理事务</w:t>
            </w:r>
          </w:p>
        </w:tc>
        <w:tc>
          <w:tcPr>
            <w:tcW w:w="1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48.96</w:t>
            </w:r>
          </w:p>
        </w:tc>
        <w:tc>
          <w:tcPr>
            <w:tcW w:w="17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48.96</w:t>
            </w:r>
          </w:p>
        </w:tc>
        <w:tc>
          <w:tcPr>
            <w:tcW w:w="17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20199</w:t>
            </w:r>
          </w:p>
        </w:tc>
        <w:tc>
          <w:tcPr>
            <w:tcW w:w="23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其他一般公共服务支出</w:t>
            </w:r>
          </w:p>
        </w:tc>
        <w:tc>
          <w:tcPr>
            <w:tcW w:w="1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7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7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2019999</w:t>
            </w:r>
          </w:p>
        </w:tc>
        <w:tc>
          <w:tcPr>
            <w:tcW w:w="234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其他一般公共服务支出</w:t>
            </w:r>
          </w:p>
        </w:tc>
        <w:tc>
          <w:tcPr>
            <w:tcW w:w="14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7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7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234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141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55"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25"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3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71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5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615"/>
        </w:trPr>
        <w:tc>
          <w:tcPr>
            <w:tcW w:w="13845" w:type="dxa"/>
            <w:gridSpan w:val="14"/>
            <w:tcBorders>
              <w:top w:val="single" w:sz="8" w:space="0" w:color="000000"/>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注：本表反映部门本年度取得的各项收入情况。本表金额转换为万元时，因四舍五入可能存在尾差。</w:t>
            </w:r>
          </w:p>
        </w:tc>
      </w:tr>
    </w:tbl>
    <w:p w:rsidR="009921A8" w:rsidRDefault="009921A8" w:rsidP="00C50624">
      <w:pPr>
        <w:rPr>
          <w:rFonts w:ascii="仿宋_GB2312" w:eastAsia="仿宋_GB2312" w:hAnsi="仿宋_GB2312"/>
          <w:sz w:val="32"/>
          <w:szCs w:val="32"/>
        </w:rPr>
      </w:pPr>
    </w:p>
    <w:p w:rsidR="009921A8" w:rsidRDefault="009921A8" w:rsidP="00C50624">
      <w:pPr>
        <w:rPr>
          <w:rFonts w:ascii="仿宋_GB2312" w:eastAsia="仿宋_GB2312" w:hAnsi="仿宋_GB2312"/>
          <w:sz w:val="32"/>
          <w:szCs w:val="32"/>
        </w:rPr>
        <w:sectPr w:rsidR="009921A8">
          <w:pgSz w:w="16838" w:h="11906" w:orient="landscape"/>
          <w:pgMar w:top="1800" w:right="1440" w:bottom="1800" w:left="144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1120"/>
        <w:gridCol w:w="63"/>
        <w:gridCol w:w="27"/>
        <w:gridCol w:w="2397"/>
        <w:gridCol w:w="726"/>
        <w:gridCol w:w="984"/>
        <w:gridCol w:w="818"/>
        <w:gridCol w:w="847"/>
        <w:gridCol w:w="954"/>
        <w:gridCol w:w="666"/>
        <w:gridCol w:w="1136"/>
        <w:gridCol w:w="679"/>
        <w:gridCol w:w="1122"/>
        <w:gridCol w:w="540"/>
        <w:gridCol w:w="1909"/>
      </w:tblGrid>
      <w:tr w:rsidR="009921A8">
        <w:trPr>
          <w:trHeight w:val="435"/>
        </w:trPr>
        <w:tc>
          <w:tcPr>
            <w:tcW w:w="13988" w:type="dxa"/>
            <w:gridSpan w:val="15"/>
            <w:tcBorders>
              <w:top w:val="nil"/>
              <w:left w:val="nil"/>
              <w:bottom w:val="nil"/>
              <w:right w:val="nil"/>
            </w:tcBorders>
            <w:noWrap/>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支出决算表</w:t>
            </w:r>
          </w:p>
        </w:tc>
      </w:tr>
      <w:tr w:rsidR="009921A8">
        <w:trPr>
          <w:trHeight w:val="372"/>
        </w:trPr>
        <w:tc>
          <w:tcPr>
            <w:tcW w:w="112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397"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726"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9921A8">
        <w:trPr>
          <w:trHeight w:val="300"/>
        </w:trPr>
        <w:tc>
          <w:tcPr>
            <w:tcW w:w="112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部门：新乡</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397"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hint="eastAsia"/>
                <w:color w:val="000000"/>
                <w:sz w:val="20"/>
                <w:szCs w:val="20"/>
              </w:rPr>
              <w:t>市大东区建设发展办公室</w:t>
            </w:r>
          </w:p>
        </w:tc>
        <w:tc>
          <w:tcPr>
            <w:tcW w:w="726"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450"/>
        </w:trPr>
        <w:tc>
          <w:tcPr>
            <w:tcW w:w="3607" w:type="dxa"/>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71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本年支出合计</w:t>
            </w:r>
          </w:p>
        </w:tc>
        <w:tc>
          <w:tcPr>
            <w:tcW w:w="166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基本支出</w:t>
            </w:r>
          </w:p>
        </w:tc>
        <w:tc>
          <w:tcPr>
            <w:tcW w:w="162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项目支出</w:t>
            </w:r>
          </w:p>
        </w:tc>
        <w:tc>
          <w:tcPr>
            <w:tcW w:w="181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上缴上级支出</w:t>
            </w:r>
          </w:p>
        </w:tc>
        <w:tc>
          <w:tcPr>
            <w:tcW w:w="1662"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对附属单位补助支出</w:t>
            </w:r>
          </w:p>
        </w:tc>
      </w:tr>
      <w:tr w:rsidR="009921A8">
        <w:trPr>
          <w:trHeight w:val="450"/>
        </w:trPr>
        <w:tc>
          <w:tcPr>
            <w:tcW w:w="1183"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kern w:val="0"/>
                <w:sz w:val="20"/>
                <w:szCs w:val="20"/>
              </w:rPr>
            </w:pPr>
            <w:r>
              <w:rPr>
                <w:rFonts w:ascii="宋体" w:hAnsi="宋体" w:cs="宋体" w:hint="eastAsia"/>
                <w:color w:val="000000"/>
                <w:kern w:val="0"/>
                <w:sz w:val="20"/>
                <w:szCs w:val="20"/>
              </w:rPr>
              <w:t>功能分类</w:t>
            </w:r>
          </w:p>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科目编码</w:t>
            </w:r>
          </w:p>
        </w:tc>
        <w:tc>
          <w:tcPr>
            <w:tcW w:w="24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171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66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62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81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662"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1183"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242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71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66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62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81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662"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3607" w:type="dxa"/>
            <w:gridSpan w:val="4"/>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栏次</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166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6</w:t>
            </w:r>
          </w:p>
        </w:tc>
      </w:tr>
      <w:tr w:rsidR="009921A8">
        <w:trPr>
          <w:trHeight w:val="450"/>
        </w:trPr>
        <w:tc>
          <w:tcPr>
            <w:tcW w:w="3607" w:type="dxa"/>
            <w:gridSpan w:val="4"/>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16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11.87</w:t>
            </w:r>
          </w:p>
        </w:tc>
        <w:tc>
          <w:tcPr>
            <w:tcW w:w="1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c>
          <w:tcPr>
            <w:tcW w:w="18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一般公共服务支出</w:t>
            </w: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16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11.87</w:t>
            </w:r>
          </w:p>
        </w:tc>
        <w:tc>
          <w:tcPr>
            <w:tcW w:w="1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c>
          <w:tcPr>
            <w:tcW w:w="18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20104</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发展与改革事务</w:t>
            </w: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48.96</w:t>
            </w:r>
          </w:p>
        </w:tc>
        <w:tc>
          <w:tcPr>
            <w:tcW w:w="16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5.88</w:t>
            </w:r>
          </w:p>
        </w:tc>
        <w:tc>
          <w:tcPr>
            <w:tcW w:w="1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c>
          <w:tcPr>
            <w:tcW w:w="18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2010402</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一般行政管理事务</w:t>
            </w: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48.96</w:t>
            </w:r>
          </w:p>
        </w:tc>
        <w:tc>
          <w:tcPr>
            <w:tcW w:w="16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5.88</w:t>
            </w:r>
          </w:p>
        </w:tc>
        <w:tc>
          <w:tcPr>
            <w:tcW w:w="1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c>
          <w:tcPr>
            <w:tcW w:w="18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20199</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其他一般公共服务支出</w:t>
            </w: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6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2019999</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其他一般公共服务支出</w:t>
            </w:r>
          </w:p>
        </w:tc>
        <w:tc>
          <w:tcPr>
            <w:tcW w:w="17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6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162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183" w:type="dxa"/>
            <w:gridSpan w:val="2"/>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2424"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71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2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81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662"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630"/>
        </w:trPr>
        <w:tc>
          <w:tcPr>
            <w:tcW w:w="13988" w:type="dxa"/>
            <w:gridSpan w:val="15"/>
            <w:tcBorders>
              <w:top w:val="single" w:sz="8" w:space="0" w:color="000000"/>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注：本表反映部门本年度各项支出情况。本表金额转换为万元时，因四舍五入可能存在尾差。</w:t>
            </w:r>
          </w:p>
        </w:tc>
      </w:tr>
    </w:tbl>
    <w:p w:rsidR="009921A8" w:rsidRDefault="009921A8" w:rsidP="00C50624">
      <w:pPr>
        <w:rPr>
          <w:rFonts w:ascii="仿宋_GB2312" w:eastAsia="仿宋_GB2312" w:hAnsi="仿宋_GB2312"/>
          <w:sz w:val="32"/>
          <w:szCs w:val="32"/>
        </w:rPr>
        <w:sectPr w:rsidR="009921A8">
          <w:pgSz w:w="16838" w:h="11906" w:orient="landscape"/>
          <w:pgMar w:top="1800" w:right="1440" w:bottom="1800" w:left="144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3994"/>
        <w:gridCol w:w="720"/>
        <w:gridCol w:w="1210"/>
        <w:gridCol w:w="3400"/>
        <w:gridCol w:w="597"/>
        <w:gridCol w:w="708"/>
        <w:gridCol w:w="1343"/>
        <w:gridCol w:w="336"/>
        <w:gridCol w:w="1680"/>
      </w:tblGrid>
      <w:tr w:rsidR="009921A8">
        <w:trPr>
          <w:trHeight w:val="360"/>
        </w:trPr>
        <w:tc>
          <w:tcPr>
            <w:tcW w:w="13988" w:type="dxa"/>
            <w:gridSpan w:val="9"/>
            <w:tcBorders>
              <w:top w:val="nil"/>
              <w:left w:val="nil"/>
              <w:bottom w:val="nil"/>
              <w:right w:val="nil"/>
            </w:tcBorders>
            <w:noWrap/>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财政拨款收入支出决算总表</w:t>
            </w:r>
          </w:p>
        </w:tc>
      </w:tr>
      <w:tr w:rsidR="009921A8">
        <w:trPr>
          <w:trHeight w:val="199"/>
        </w:trPr>
        <w:tc>
          <w:tcPr>
            <w:tcW w:w="3994"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9921A8">
        <w:trPr>
          <w:trHeight w:val="300"/>
        </w:trPr>
        <w:tc>
          <w:tcPr>
            <w:tcW w:w="3994"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部门：新乡市大东区建设发展办公室</w:t>
            </w:r>
          </w:p>
        </w:tc>
        <w:tc>
          <w:tcPr>
            <w:tcW w:w="72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收入</w:t>
            </w:r>
          </w:p>
        </w:tc>
        <w:tc>
          <w:tcPr>
            <w:tcW w:w="8064" w:type="dxa"/>
            <w:gridSpan w:val="6"/>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支出</w:t>
            </w:r>
          </w:p>
        </w:tc>
      </w:tr>
      <w:tr w:rsidR="009921A8">
        <w:trPr>
          <w:trHeight w:val="630"/>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金额</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16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一般公共预算财政拨款</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政府性基金预算财政拨款</w:t>
            </w: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w:t>
            </w:r>
            <w:r>
              <w:rPr>
                <w:rFonts w:ascii="宋体" w:hAnsi="宋体" w:cs="宋体"/>
                <w:color w:val="000000"/>
                <w:kern w:val="0"/>
                <w:sz w:val="20"/>
                <w:szCs w:val="20"/>
              </w:rPr>
              <w:t xml:space="preserve">    </w:t>
            </w:r>
            <w:r>
              <w:rPr>
                <w:rFonts w:ascii="宋体" w:hAnsi="宋体" w:cs="宋体" w:hint="eastAsia"/>
                <w:color w:val="000000"/>
                <w:kern w:val="0"/>
                <w:sz w:val="20"/>
                <w:szCs w:val="20"/>
              </w:rPr>
              <w:t>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68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一、一般公共预算财政拨款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一、一般公共服务支出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15</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二、政府性基金预算财政拨款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二、外交支出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16</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三、国防支出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17</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四、公共安全支出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18</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五、教育支出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19</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6</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六、科学技术支出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20</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7</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21</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8</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340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22</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本年收入合计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9</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340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本年支出合计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23</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9921A8" w:rsidRDefault="009921A8" w:rsidP="006D7269">
            <w:pPr>
              <w:tabs>
                <w:tab w:val="left" w:pos="466"/>
              </w:tabs>
              <w:jc w:val="center"/>
              <w:rPr>
                <w:rFonts w:ascii="宋体"/>
                <w:color w:val="000000"/>
                <w:sz w:val="20"/>
                <w:szCs w:val="20"/>
              </w:rPr>
            </w:pPr>
            <w:r>
              <w:rPr>
                <w:rFonts w:ascii="宋体" w:hAnsi="宋体" w:cs="宋体"/>
                <w:color w:val="000000"/>
                <w:sz w:val="20"/>
                <w:szCs w:val="20"/>
              </w:rPr>
              <w:t>54.96</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b/>
                <w:bCs/>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年初财政拨款结转和结余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10</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年末财政拨款结转和结余</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24</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11</w:t>
            </w:r>
          </w:p>
        </w:tc>
        <w:tc>
          <w:tcPr>
            <w:tcW w:w="12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25</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4" w:space="0" w:color="auto"/>
              <w:right w:val="nil"/>
            </w:tcBorders>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政府性基金预算财政拨款</w:t>
            </w:r>
          </w:p>
        </w:tc>
        <w:tc>
          <w:tcPr>
            <w:tcW w:w="720"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12</w:t>
            </w:r>
          </w:p>
        </w:tc>
        <w:tc>
          <w:tcPr>
            <w:tcW w:w="1210"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000000"/>
              <w:left w:val="single" w:sz="4" w:space="0" w:color="000000"/>
              <w:bottom w:val="single" w:sz="4" w:space="0" w:color="auto"/>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597" w:type="dxa"/>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26</w:t>
            </w:r>
          </w:p>
        </w:tc>
        <w:tc>
          <w:tcPr>
            <w:tcW w:w="708" w:type="dxa"/>
            <w:tcBorders>
              <w:top w:val="single" w:sz="4" w:space="0" w:color="000000"/>
              <w:left w:val="nil"/>
              <w:bottom w:val="single" w:sz="4" w:space="0" w:color="auto"/>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000000"/>
              <w:left w:val="single" w:sz="4" w:space="0" w:color="000000"/>
              <w:bottom w:val="single" w:sz="4" w:space="0" w:color="auto"/>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000000"/>
              <w:left w:val="nil"/>
              <w:bottom w:val="single" w:sz="4" w:space="0" w:color="auto"/>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02"/>
        </w:trPr>
        <w:tc>
          <w:tcPr>
            <w:tcW w:w="3994" w:type="dxa"/>
            <w:tcBorders>
              <w:top w:val="single" w:sz="4" w:space="0" w:color="auto"/>
              <w:left w:val="single" w:sz="8" w:space="0" w:color="000000"/>
              <w:bottom w:val="nil"/>
              <w:right w:val="nil"/>
            </w:tcBorders>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720"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13</w:t>
            </w:r>
          </w:p>
        </w:tc>
        <w:tc>
          <w:tcPr>
            <w:tcW w:w="1210"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9921A8" w:rsidRDefault="009921A8" w:rsidP="006D7269">
            <w:pPr>
              <w:jc w:val="right"/>
              <w:rPr>
                <w:rFonts w:ascii="宋体"/>
                <w:color w:val="000000"/>
                <w:sz w:val="20"/>
                <w:szCs w:val="20"/>
              </w:rPr>
            </w:pPr>
          </w:p>
        </w:tc>
        <w:tc>
          <w:tcPr>
            <w:tcW w:w="3400" w:type="dxa"/>
            <w:tcBorders>
              <w:top w:val="single" w:sz="4" w:space="0" w:color="auto"/>
              <w:left w:val="single" w:sz="4" w:space="0" w:color="000000"/>
              <w:bottom w:val="nil"/>
              <w:right w:val="nil"/>
            </w:tcBorders>
            <w:noWrap/>
            <w:tcMar>
              <w:top w:w="15" w:type="dxa"/>
              <w:left w:w="15" w:type="dxa"/>
              <w:right w:w="15" w:type="dxa"/>
            </w:tcMar>
            <w:vAlign w:val="center"/>
          </w:tcPr>
          <w:p w:rsidR="009921A8" w:rsidRDefault="009921A8" w:rsidP="006D7269">
            <w:pPr>
              <w:jc w:val="left"/>
              <w:rPr>
                <w:rFonts w:ascii="宋体"/>
                <w:color w:val="000000"/>
                <w:sz w:val="20"/>
                <w:szCs w:val="20"/>
              </w:rPr>
            </w:pPr>
          </w:p>
        </w:tc>
        <w:tc>
          <w:tcPr>
            <w:tcW w:w="597" w:type="dxa"/>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27</w:t>
            </w:r>
          </w:p>
        </w:tc>
        <w:tc>
          <w:tcPr>
            <w:tcW w:w="708" w:type="dxa"/>
            <w:tcBorders>
              <w:top w:val="single" w:sz="4" w:space="0" w:color="auto"/>
              <w:left w:val="nil"/>
              <w:bottom w:val="nil"/>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79" w:type="dxa"/>
            <w:gridSpan w:val="2"/>
            <w:tcBorders>
              <w:top w:val="single" w:sz="4" w:space="0" w:color="auto"/>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1680" w:type="dxa"/>
            <w:tcBorders>
              <w:top w:val="single" w:sz="4" w:space="0" w:color="auto"/>
              <w:left w:val="nil"/>
              <w:bottom w:val="nil"/>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02"/>
        </w:trPr>
        <w:tc>
          <w:tcPr>
            <w:tcW w:w="3994"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14</w:t>
            </w:r>
          </w:p>
        </w:tc>
        <w:tc>
          <w:tcPr>
            <w:tcW w:w="1210"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3400"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28</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167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color w:val="000000"/>
                <w:sz w:val="20"/>
                <w:szCs w:val="20"/>
              </w:rPr>
              <w:t>54.96</w:t>
            </w:r>
          </w:p>
        </w:tc>
        <w:tc>
          <w:tcPr>
            <w:tcW w:w="168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9921A8" w:rsidRDefault="009921A8" w:rsidP="006D7269">
            <w:pPr>
              <w:rPr>
                <w:rFonts w:ascii="宋体"/>
                <w:b/>
                <w:bCs/>
                <w:color w:val="000000"/>
                <w:sz w:val="20"/>
                <w:szCs w:val="20"/>
              </w:rPr>
            </w:pPr>
          </w:p>
        </w:tc>
      </w:tr>
      <w:tr w:rsidR="009921A8">
        <w:trPr>
          <w:trHeight w:val="585"/>
        </w:trPr>
        <w:tc>
          <w:tcPr>
            <w:tcW w:w="13988" w:type="dxa"/>
            <w:gridSpan w:val="9"/>
            <w:tcBorders>
              <w:top w:val="single" w:sz="8" w:space="0" w:color="000000"/>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rsidR="009921A8" w:rsidRDefault="009921A8" w:rsidP="00C50624">
      <w:pPr>
        <w:rPr>
          <w:rFonts w:ascii="仿宋_GB2312" w:eastAsia="仿宋_GB2312" w:hAnsi="仿宋_GB2312"/>
          <w:sz w:val="32"/>
          <w:szCs w:val="32"/>
        </w:rPr>
        <w:sectPr w:rsidR="009921A8">
          <w:pgSz w:w="16838" w:h="11906" w:orient="landscape"/>
          <w:pgMar w:top="1134" w:right="1440" w:bottom="1134" w:left="144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726"/>
        <w:gridCol w:w="688"/>
        <w:gridCol w:w="2225"/>
        <w:gridCol w:w="3449"/>
        <w:gridCol w:w="3449"/>
        <w:gridCol w:w="3451"/>
      </w:tblGrid>
      <w:tr w:rsidR="009921A8">
        <w:trPr>
          <w:trHeight w:val="600"/>
        </w:trPr>
        <w:tc>
          <w:tcPr>
            <w:tcW w:w="13988" w:type="dxa"/>
            <w:gridSpan w:val="6"/>
            <w:tcBorders>
              <w:top w:val="nil"/>
              <w:left w:val="nil"/>
              <w:bottom w:val="nil"/>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一般公共预算财政拨款支出决算表</w:t>
            </w:r>
          </w:p>
        </w:tc>
      </w:tr>
      <w:tr w:rsidR="009921A8">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cs="宋体"/>
                <w:color w:val="000000"/>
                <w:kern w:val="0"/>
                <w:sz w:val="20"/>
                <w:szCs w:val="20"/>
              </w:rPr>
              <w:t>0</w:t>
            </w:r>
            <w:r>
              <w:rPr>
                <w:rStyle w:val="font11"/>
              </w:rPr>
              <w:t>5</w:t>
            </w:r>
            <w:r>
              <w:rPr>
                <w:rStyle w:val="font11"/>
                <w:rFonts w:hint="eastAsia"/>
              </w:rPr>
              <w:t>表</w:t>
            </w:r>
          </w:p>
        </w:tc>
      </w:tr>
      <w:tr w:rsidR="009921A8">
        <w:trPr>
          <w:trHeight w:val="300"/>
        </w:trPr>
        <w:tc>
          <w:tcPr>
            <w:tcW w:w="726"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w:t>
            </w:r>
          </w:p>
        </w:tc>
        <w:tc>
          <w:tcPr>
            <w:tcW w:w="688"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新乡市</w:t>
            </w:r>
          </w:p>
        </w:tc>
        <w:tc>
          <w:tcPr>
            <w:tcW w:w="2225"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大东区建设发展办公室</w:t>
            </w:r>
          </w:p>
        </w:tc>
        <w:tc>
          <w:tcPr>
            <w:tcW w:w="3449"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405"/>
        </w:trPr>
        <w:tc>
          <w:tcPr>
            <w:tcW w:w="3639"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Style w:val="font01"/>
              </w:rPr>
              <w:t xml:space="preserve">   </w:t>
            </w:r>
            <w:r>
              <w:rPr>
                <w:rStyle w:val="font51"/>
                <w:rFonts w:hint="eastAsia"/>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本年支出</w:t>
            </w:r>
          </w:p>
        </w:tc>
      </w:tr>
      <w:tr w:rsidR="009921A8">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kern w:val="0"/>
                <w:sz w:val="20"/>
                <w:szCs w:val="20"/>
              </w:rPr>
            </w:pPr>
            <w:r>
              <w:rPr>
                <w:rFonts w:ascii="宋体" w:hAnsi="宋体" w:cs="宋体" w:hint="eastAsia"/>
                <w:color w:val="000000"/>
                <w:kern w:val="0"/>
                <w:sz w:val="20"/>
                <w:szCs w:val="20"/>
              </w:rPr>
              <w:t>功能分类</w:t>
            </w:r>
          </w:p>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项目支出</w:t>
            </w:r>
          </w:p>
        </w:tc>
      </w:tr>
      <w:tr w:rsidR="009921A8">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r>
      <w:tr w:rsidR="009921A8">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11.87</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r>
      <w:tr w:rsidR="009921A8">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54.96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11.87</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r>
      <w:tr w:rsidR="009921A8">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20104</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发展与改革事务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48.96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5.88</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r>
      <w:tr w:rsidR="009921A8">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2010402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一般行政管理事务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48.96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5.88</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43.09</w:t>
            </w:r>
          </w:p>
        </w:tc>
      </w:tr>
      <w:tr w:rsidR="009921A8">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20199</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其他一般公共服务支出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left"/>
              <w:rPr>
                <w:rFonts w:ascii="宋体"/>
                <w:color w:val="000000"/>
                <w:sz w:val="20"/>
                <w:szCs w:val="20"/>
              </w:rPr>
            </w:pPr>
            <w:r>
              <w:rPr>
                <w:rFonts w:ascii="宋体" w:hAnsi="宋体" w:cs="宋体"/>
                <w:color w:val="000000"/>
                <w:sz w:val="20"/>
                <w:szCs w:val="20"/>
              </w:rPr>
              <w:t>2019999</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r>
              <w:rPr>
                <w:rFonts w:ascii="宋体" w:hAnsi="宋体" w:cs="宋体" w:hint="eastAsia"/>
                <w:color w:val="000000"/>
                <w:sz w:val="20"/>
                <w:szCs w:val="20"/>
              </w:rPr>
              <w:t>其他一般公共服务支出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r>
              <w:rPr>
                <w:rFonts w:ascii="宋体" w:hAnsi="宋体" w:cs="宋体"/>
                <w:color w:val="000000"/>
                <w:sz w:val="20"/>
                <w:szCs w:val="20"/>
              </w:rPr>
              <w:t>5.99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right"/>
              <w:rPr>
                <w:rFonts w:ascii="宋体"/>
                <w:color w:val="000000"/>
                <w:sz w:val="20"/>
                <w:szCs w:val="20"/>
              </w:rPr>
            </w:pPr>
          </w:p>
        </w:tc>
      </w:tr>
      <w:tr w:rsidR="009921A8">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645"/>
        </w:trPr>
        <w:tc>
          <w:tcPr>
            <w:tcW w:w="13988" w:type="dxa"/>
            <w:gridSpan w:val="6"/>
            <w:tcBorders>
              <w:top w:val="nil"/>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注：本表反映部门本年度一般公共预算财政拨款支出情况。本表金额转换为万元时，因四舍五入可能存在尾差。</w:t>
            </w:r>
          </w:p>
        </w:tc>
      </w:tr>
    </w:tbl>
    <w:p w:rsidR="009921A8" w:rsidRDefault="009921A8" w:rsidP="00C50624">
      <w:pPr>
        <w:rPr>
          <w:rFonts w:ascii="仿宋_GB2312" w:eastAsia="仿宋_GB2312" w:hAnsi="仿宋_GB2312"/>
          <w:sz w:val="32"/>
          <w:szCs w:val="32"/>
        </w:rPr>
        <w:sectPr w:rsidR="009921A8">
          <w:pgSz w:w="16838" w:h="11906" w:orient="landscape"/>
          <w:pgMar w:top="1134" w:right="1440" w:bottom="1134" w:left="144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870"/>
        <w:gridCol w:w="2923"/>
        <w:gridCol w:w="938"/>
        <w:gridCol w:w="870"/>
        <w:gridCol w:w="2066"/>
        <w:gridCol w:w="938"/>
        <w:gridCol w:w="870"/>
        <w:gridCol w:w="3575"/>
        <w:gridCol w:w="938"/>
      </w:tblGrid>
      <w:tr w:rsidR="009921A8">
        <w:trPr>
          <w:trHeight w:val="435"/>
        </w:trPr>
        <w:tc>
          <w:tcPr>
            <w:tcW w:w="13988" w:type="dxa"/>
            <w:gridSpan w:val="9"/>
            <w:tcBorders>
              <w:top w:val="nil"/>
              <w:left w:val="nil"/>
              <w:bottom w:val="nil"/>
              <w:right w:val="nil"/>
            </w:tcBorders>
            <w:noWrap/>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一般公共预算财政拨款基本支出决算表</w:t>
            </w:r>
          </w:p>
        </w:tc>
      </w:tr>
      <w:tr w:rsidR="009921A8">
        <w:trPr>
          <w:trHeight w:val="405"/>
        </w:trPr>
        <w:tc>
          <w:tcPr>
            <w:tcW w:w="870"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2923"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9921A8">
        <w:trPr>
          <w:trHeight w:val="300"/>
        </w:trPr>
        <w:tc>
          <w:tcPr>
            <w:tcW w:w="870" w:type="dxa"/>
            <w:tcBorders>
              <w:top w:val="nil"/>
              <w:left w:val="nil"/>
              <w:bottom w:val="nil"/>
              <w:right w:val="nil"/>
            </w:tcBorders>
            <w:noWrap/>
            <w:tcMar>
              <w:top w:w="15" w:type="dxa"/>
              <w:left w:w="15" w:type="dxa"/>
              <w:right w:w="15" w:type="dxa"/>
            </w:tcMar>
            <w:vAlign w:val="center"/>
          </w:tcPr>
          <w:p w:rsidR="009921A8" w:rsidRDefault="009921A8" w:rsidP="006D7269">
            <w:pPr>
              <w:widowControl/>
              <w:jc w:val="left"/>
              <w:textAlignment w:val="center"/>
              <w:rPr>
                <w:rFonts w:ascii="Arial" w:hAnsi="Arial" w:cs="Arial"/>
                <w:color w:val="000000"/>
                <w:sz w:val="20"/>
                <w:szCs w:val="20"/>
              </w:rPr>
            </w:pPr>
            <w:r>
              <w:rPr>
                <w:rFonts w:ascii="Arial" w:hAnsi="Arial" w:cs="宋体" w:hint="eastAsia"/>
                <w:color w:val="000000"/>
                <w:kern w:val="0"/>
                <w:sz w:val="20"/>
                <w:szCs w:val="20"/>
              </w:rPr>
              <w:t>部门：</w:t>
            </w:r>
          </w:p>
        </w:tc>
        <w:tc>
          <w:tcPr>
            <w:tcW w:w="2923"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r>
              <w:rPr>
                <w:rFonts w:ascii="Arial" w:hAnsi="Arial" w:cs="宋体" w:hint="eastAsia"/>
                <w:color w:val="000000"/>
                <w:sz w:val="20"/>
                <w:szCs w:val="20"/>
              </w:rPr>
              <w:t>新乡市大东区建设发展办公室</w:t>
            </w:r>
          </w:p>
        </w:tc>
        <w:tc>
          <w:tcPr>
            <w:tcW w:w="938"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rsidR="009921A8" w:rsidRDefault="009921A8" w:rsidP="006D7269">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615"/>
        </w:trPr>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经济分类科目编码</w:t>
            </w:r>
          </w:p>
        </w:tc>
        <w:tc>
          <w:tcPr>
            <w:tcW w:w="292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决算数</w:t>
            </w: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5.94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ind w:firstLine="455"/>
              <w:rPr>
                <w:rFonts w:ascii="宋体"/>
                <w:color w:val="000000"/>
                <w:sz w:val="20"/>
                <w:szCs w:val="20"/>
              </w:rPr>
            </w:pPr>
            <w:r>
              <w:rPr>
                <w:rFonts w:ascii="宋体" w:hAnsi="宋体" w:cs="宋体"/>
                <w:color w:val="000000"/>
                <w:sz w:val="20"/>
                <w:szCs w:val="20"/>
              </w:rPr>
              <w:t>5.93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3.36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5.82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0.38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机关事业单位基本养老保险费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0.12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0.06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30111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30112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1.13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30113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0.74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30114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30199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0.15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30305</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0.11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30399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jc w:val="center"/>
              <w:rPr>
                <w:rFonts w:ascii="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5.94</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5.93</w:t>
            </w:r>
          </w:p>
        </w:tc>
      </w:tr>
      <w:tr w:rsidR="009921A8">
        <w:trPr>
          <w:trHeight w:val="390"/>
        </w:trPr>
        <w:tc>
          <w:tcPr>
            <w:tcW w:w="13988" w:type="dxa"/>
            <w:gridSpan w:val="9"/>
            <w:tcBorders>
              <w:top w:val="nil"/>
              <w:left w:val="nil"/>
              <w:bottom w:val="nil"/>
              <w:right w:val="nil"/>
            </w:tcBorders>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注：本表反映部门本年度一般公共预算财政拨款基本支出明细情况。本表金额转换为万元时，因四舍五入可能存在尾差。</w:t>
            </w:r>
          </w:p>
        </w:tc>
      </w:tr>
    </w:tbl>
    <w:p w:rsidR="009921A8" w:rsidRDefault="009921A8" w:rsidP="00C50624">
      <w:pPr>
        <w:rPr>
          <w:rFonts w:ascii="仿宋_GB2312" w:eastAsia="仿宋_GB2312" w:hAnsi="仿宋_GB2312"/>
          <w:sz w:val="32"/>
          <w:szCs w:val="32"/>
        </w:rPr>
        <w:sectPr w:rsidR="009921A8">
          <w:pgSz w:w="16838" w:h="11906" w:orient="landscape"/>
          <w:pgMar w:top="1800" w:right="1440" w:bottom="1800" w:left="1440"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1151"/>
        <w:gridCol w:w="1149"/>
        <w:gridCol w:w="1150"/>
        <w:gridCol w:w="1150"/>
        <w:gridCol w:w="1151"/>
        <w:gridCol w:w="1150"/>
        <w:gridCol w:w="1151"/>
        <w:gridCol w:w="1151"/>
        <w:gridCol w:w="1151"/>
        <w:gridCol w:w="1151"/>
        <w:gridCol w:w="1151"/>
        <w:gridCol w:w="1151"/>
      </w:tblGrid>
      <w:tr w:rsidR="009921A8">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一般公共预算财政拨款“三公”经费支出决算表</w:t>
            </w:r>
          </w:p>
        </w:tc>
      </w:tr>
      <w:tr w:rsidR="009921A8">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9921A8">
        <w:trPr>
          <w:trHeight w:val="300"/>
        </w:trPr>
        <w:tc>
          <w:tcPr>
            <w:tcW w:w="115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部门：新乡市</w:t>
            </w:r>
          </w:p>
        </w:tc>
        <w:tc>
          <w:tcPr>
            <w:tcW w:w="1149"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hint="eastAsia"/>
                <w:color w:val="000000"/>
                <w:sz w:val="20"/>
                <w:szCs w:val="20"/>
              </w:rPr>
              <w:t>大东区建设</w:t>
            </w: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hint="eastAsia"/>
                <w:color w:val="000000"/>
                <w:sz w:val="20"/>
                <w:szCs w:val="20"/>
              </w:rPr>
              <w:t>发展办公室</w:t>
            </w: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决算数</w:t>
            </w:r>
          </w:p>
        </w:tc>
      </w:tr>
      <w:tr w:rsidR="009921A8">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公务接待费</w:t>
            </w:r>
          </w:p>
        </w:tc>
      </w:tr>
      <w:tr w:rsidR="009921A8">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公务用车</w:t>
            </w:r>
            <w:r>
              <w:rPr>
                <w:rFonts w:ascii="宋体"/>
                <w:color w:val="000000"/>
                <w:kern w:val="0"/>
                <w:sz w:val="20"/>
                <w:szCs w:val="20"/>
              </w:rPr>
              <w:br/>
            </w: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公务用车</w:t>
            </w:r>
            <w:r>
              <w:rPr>
                <w:rFonts w:ascii="宋体"/>
                <w:color w:val="000000"/>
                <w:kern w:val="0"/>
                <w:sz w:val="20"/>
                <w:szCs w:val="20"/>
              </w:rPr>
              <w:br/>
            </w:r>
            <w:r>
              <w:rPr>
                <w:rFonts w:ascii="宋体" w:hAnsi="宋体" w:cs="宋体" w:hint="eastAsia"/>
                <w:color w:val="000000"/>
                <w:kern w:val="0"/>
                <w:sz w:val="20"/>
                <w:szCs w:val="20"/>
              </w:rP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公务用车</w:t>
            </w:r>
            <w:r>
              <w:rPr>
                <w:rFonts w:ascii="宋体"/>
                <w:color w:val="000000"/>
                <w:kern w:val="0"/>
                <w:sz w:val="20"/>
                <w:szCs w:val="20"/>
              </w:rPr>
              <w:br/>
            </w: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公务用车</w:t>
            </w:r>
            <w:r>
              <w:rPr>
                <w:rFonts w:ascii="宋体"/>
                <w:color w:val="000000"/>
                <w:kern w:val="0"/>
                <w:sz w:val="20"/>
                <w:szCs w:val="20"/>
              </w:rPr>
              <w:br/>
            </w:r>
            <w:r>
              <w:rPr>
                <w:rFonts w:ascii="宋体" w:hAnsi="宋体" w:cs="宋体" w:hint="eastAsia"/>
                <w:color w:val="000000"/>
                <w:kern w:val="0"/>
                <w:sz w:val="20"/>
                <w:szCs w:val="20"/>
              </w:rP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12</w:t>
            </w:r>
          </w:p>
        </w:tc>
      </w:tr>
      <w:tr w:rsidR="009921A8">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p w:rsidR="009921A8" w:rsidRDefault="009921A8" w:rsidP="006D7269">
            <w:pPr>
              <w:jc w:val="center"/>
            </w:pPr>
            <w:r>
              <w:t>10.00</w:t>
            </w: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5.00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5.00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5.00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6.56</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6.15</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6.15</w:t>
            </w: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r>
              <w:rPr>
                <w:rFonts w:ascii="宋体" w:hAnsi="宋体" w:cs="宋体"/>
                <w:color w:val="000000"/>
                <w:sz w:val="20"/>
                <w:szCs w:val="20"/>
              </w:rPr>
              <w:t>0.40</w:t>
            </w:r>
          </w:p>
        </w:tc>
      </w:tr>
      <w:tr w:rsidR="009921A8">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注：本表反映部门本年度“三公”经费支出预决算情况。其中，</w:t>
            </w:r>
            <w:r>
              <w:rPr>
                <w:rStyle w:val="font41"/>
                <w:rFonts w:hint="eastAsia"/>
                <w:sz w:val="20"/>
                <w:szCs w:val="20"/>
              </w:rPr>
              <w:t>预算数为</w:t>
            </w:r>
            <w:r>
              <w:rPr>
                <w:rStyle w:val="font41"/>
                <w:rFonts w:hAnsi="Times New Roman" w:hint="eastAsia"/>
                <w:sz w:val="20"/>
                <w:szCs w:val="20"/>
              </w:rPr>
              <w:t>“</w:t>
            </w:r>
            <w:r>
              <w:rPr>
                <w:rStyle w:val="font41"/>
                <w:rFonts w:hint="eastAsia"/>
                <w:sz w:val="20"/>
                <w:szCs w:val="20"/>
              </w:rPr>
              <w:t>三公</w:t>
            </w:r>
            <w:r>
              <w:rPr>
                <w:rStyle w:val="font41"/>
                <w:rFonts w:hAnsi="Times New Roman" w:hint="eastAsia"/>
                <w:sz w:val="20"/>
                <w:szCs w:val="20"/>
              </w:rPr>
              <w:t>”</w:t>
            </w:r>
            <w:r>
              <w:rPr>
                <w:rStyle w:val="font41"/>
                <w:rFonts w:hint="eastAsia"/>
                <w:sz w:val="20"/>
                <w:szCs w:val="20"/>
              </w:rPr>
              <w:t>经费年初预算数，决算数是包括当年一般公共预算财政拨款和以前年度结转资金安排的实际支出。</w:t>
            </w:r>
            <w:r>
              <w:rPr>
                <w:rFonts w:ascii="宋体" w:hAnsi="宋体" w:cs="宋体" w:hint="eastAsia"/>
                <w:color w:val="000000"/>
                <w:kern w:val="0"/>
                <w:sz w:val="20"/>
                <w:szCs w:val="20"/>
              </w:rPr>
              <w:t>本表金额转换为万元时，因四舍五入可能存在尾差。</w:t>
            </w:r>
          </w:p>
        </w:tc>
      </w:tr>
    </w:tbl>
    <w:p w:rsidR="009921A8" w:rsidRDefault="009921A8" w:rsidP="00C50624">
      <w:pPr>
        <w:rPr>
          <w:rFonts w:ascii="仿宋_GB2312" w:eastAsia="仿宋_GB2312" w:hAnsi="仿宋_GB2312"/>
          <w:sz w:val="32"/>
          <w:szCs w:val="32"/>
        </w:rPr>
        <w:sectPr w:rsidR="009921A8">
          <w:pgSz w:w="16838" w:h="11906" w:orient="landscape"/>
          <w:pgMar w:top="2098" w:right="1474" w:bottom="1984" w:left="1587" w:header="720" w:footer="720" w:gutter="0"/>
          <w:pgNumType w:fmt="numberInDash"/>
          <w:cols w:space="720"/>
          <w:docGrid w:type="lines" w:linePitch="312"/>
        </w:sectPr>
      </w:pPr>
    </w:p>
    <w:tbl>
      <w:tblPr>
        <w:tblW w:w="0" w:type="auto"/>
        <w:tblInd w:w="2" w:type="dxa"/>
        <w:tblLayout w:type="fixed"/>
        <w:tblCellMar>
          <w:left w:w="0" w:type="dxa"/>
          <w:right w:w="0" w:type="dxa"/>
        </w:tblCellMar>
        <w:tblLook w:val="0000"/>
      </w:tblPr>
      <w:tblGrid>
        <w:gridCol w:w="612"/>
        <w:gridCol w:w="536"/>
        <w:gridCol w:w="1276"/>
        <w:gridCol w:w="1926"/>
        <w:gridCol w:w="1926"/>
        <w:gridCol w:w="1926"/>
        <w:gridCol w:w="1927"/>
        <w:gridCol w:w="1926"/>
        <w:gridCol w:w="1933"/>
      </w:tblGrid>
      <w:tr w:rsidR="009921A8">
        <w:trPr>
          <w:trHeight w:val="600"/>
        </w:trPr>
        <w:tc>
          <w:tcPr>
            <w:tcW w:w="13988" w:type="dxa"/>
            <w:gridSpan w:val="9"/>
            <w:tcBorders>
              <w:top w:val="nil"/>
              <w:left w:val="nil"/>
              <w:bottom w:val="nil"/>
              <w:right w:val="nil"/>
            </w:tcBorders>
            <w:shd w:val="clear" w:color="auto" w:fill="FFFFFF"/>
            <w:tcMar>
              <w:top w:w="15" w:type="dxa"/>
              <w:left w:w="15" w:type="dxa"/>
              <w:right w:w="15" w:type="dxa"/>
            </w:tcMar>
            <w:vAlign w:val="center"/>
          </w:tcPr>
          <w:p w:rsidR="009921A8" w:rsidRDefault="009921A8" w:rsidP="006D7269">
            <w:pPr>
              <w:widowControl/>
              <w:jc w:val="center"/>
              <w:textAlignment w:val="center"/>
              <w:rPr>
                <w:rFonts w:ascii="华文中宋" w:eastAsia="华文中宋" w:hAnsi="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9921A8">
        <w:trPr>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9921A8">
        <w:trPr>
          <w:trHeight w:val="300"/>
        </w:trPr>
        <w:tc>
          <w:tcPr>
            <w:tcW w:w="612"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部门：</w:t>
            </w:r>
          </w:p>
        </w:tc>
        <w:tc>
          <w:tcPr>
            <w:tcW w:w="53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nil"/>
              <w:left w:val="nil"/>
              <w:bottom w:val="single" w:sz="8" w:space="0" w:color="000000"/>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9921A8" w:rsidRDefault="009921A8" w:rsidP="006D7269">
            <w:pPr>
              <w:widowControl/>
              <w:jc w:val="right"/>
              <w:textAlignment w:val="center"/>
              <w:rPr>
                <w:rFonts w:ascii="宋体"/>
                <w:color w:val="000000"/>
                <w:sz w:val="20"/>
                <w:szCs w:val="20"/>
              </w:rPr>
            </w:pPr>
            <w:r>
              <w:rPr>
                <w:rFonts w:ascii="宋体" w:hAnsi="宋体" w:cs="宋体" w:hint="eastAsia"/>
                <w:color w:val="000000"/>
                <w:kern w:val="0"/>
                <w:sz w:val="20"/>
                <w:szCs w:val="20"/>
              </w:rPr>
              <w:t>单位：万元</w:t>
            </w:r>
          </w:p>
        </w:tc>
      </w:tr>
      <w:tr w:rsidR="009921A8">
        <w:trPr>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w:t>
            </w:r>
            <w:r>
              <w:rPr>
                <w:rFonts w:ascii="宋体" w:hAnsi="宋体" w:cs="宋体"/>
                <w:color w:val="000000"/>
                <w:kern w:val="0"/>
                <w:sz w:val="20"/>
                <w:szCs w:val="20"/>
              </w:rPr>
              <w:t xml:space="preserve">    </w:t>
            </w:r>
            <w:r>
              <w:rPr>
                <w:rFonts w:ascii="宋体" w:hAnsi="宋体" w:cs="宋体" w:hint="eastAsia"/>
                <w:color w:val="000000"/>
                <w:kern w:val="0"/>
                <w:sz w:val="20"/>
                <w:szCs w:val="20"/>
              </w:rPr>
              <w:t>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本年收入</w:t>
            </w:r>
          </w:p>
        </w:tc>
        <w:tc>
          <w:tcPr>
            <w:tcW w:w="5779" w:type="dxa"/>
            <w:gridSpan w:val="3"/>
            <w:tcBorders>
              <w:top w:val="single" w:sz="8"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年末结转和结余</w:t>
            </w:r>
          </w:p>
        </w:tc>
      </w:tr>
      <w:tr w:rsidR="009921A8">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kern w:val="0"/>
                <w:sz w:val="20"/>
                <w:szCs w:val="20"/>
              </w:rPr>
            </w:pPr>
            <w:r>
              <w:rPr>
                <w:rFonts w:ascii="宋体" w:hAnsi="宋体" w:cs="宋体" w:hint="eastAsia"/>
                <w:color w:val="000000"/>
                <w:kern w:val="0"/>
                <w:sz w:val="20"/>
                <w:szCs w:val="20"/>
              </w:rPr>
              <w:t>功能分类</w:t>
            </w:r>
          </w:p>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基本支出</w:t>
            </w:r>
          </w:p>
        </w:tc>
        <w:tc>
          <w:tcPr>
            <w:tcW w:w="1926" w:type="dxa"/>
            <w:vMerge w:val="restart"/>
            <w:tcBorders>
              <w:top w:val="nil"/>
              <w:left w:val="single" w:sz="4" w:space="0" w:color="000000"/>
              <w:bottom w:val="single" w:sz="4" w:space="0" w:color="000000"/>
              <w:right w:val="nil"/>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color w:val="000000"/>
                <w:kern w:val="0"/>
                <w:sz w:val="20"/>
                <w:szCs w:val="20"/>
              </w:rPr>
              <w:t>6</w:t>
            </w:r>
          </w:p>
        </w:tc>
      </w:tr>
      <w:tr w:rsidR="009921A8">
        <w:trPr>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widowControl/>
              <w:jc w:val="center"/>
              <w:textAlignment w:val="center"/>
              <w:rPr>
                <w:rFonts w:ascii="宋体"/>
                <w:color w:val="000000"/>
                <w:sz w:val="20"/>
                <w:szCs w:val="20"/>
              </w:rPr>
            </w:pPr>
            <w:r>
              <w:rPr>
                <w:rFonts w:ascii="宋体" w:hAnsi="宋体" w:cs="宋体" w:hint="eastAsia"/>
                <w:color w:val="000000"/>
                <w:kern w:val="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r>
      <w:tr w:rsidR="009921A8">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jc w:val="center"/>
              <w:rPr>
                <w:rFonts w:ascii="宋体"/>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9921A8" w:rsidRDefault="009921A8" w:rsidP="006D7269">
            <w:pPr>
              <w:rPr>
                <w:rFonts w:ascii="宋体"/>
                <w:color w:val="000000"/>
                <w:sz w:val="20"/>
                <w:szCs w:val="20"/>
              </w:rPr>
            </w:pPr>
          </w:p>
        </w:tc>
        <w:tc>
          <w:tcPr>
            <w:tcW w:w="192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9921A8" w:rsidRDefault="009921A8" w:rsidP="006D7269">
            <w:pPr>
              <w:rPr>
                <w:rFonts w:ascii="宋体"/>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9921A8" w:rsidRDefault="009921A8" w:rsidP="006D7269">
            <w:pPr>
              <w:rPr>
                <w:rFonts w:ascii="宋体"/>
                <w:color w:val="000000"/>
                <w:sz w:val="20"/>
                <w:szCs w:val="20"/>
              </w:rPr>
            </w:pPr>
          </w:p>
        </w:tc>
      </w:tr>
      <w:tr w:rsidR="009921A8">
        <w:trPr>
          <w:trHeight w:val="645"/>
        </w:trPr>
        <w:tc>
          <w:tcPr>
            <w:tcW w:w="13988" w:type="dxa"/>
            <w:gridSpan w:val="9"/>
            <w:tcBorders>
              <w:top w:val="single" w:sz="8" w:space="0" w:color="000000"/>
              <w:left w:val="nil"/>
              <w:bottom w:val="nil"/>
              <w:right w:val="nil"/>
            </w:tcBorders>
            <w:tcMar>
              <w:top w:w="15" w:type="dxa"/>
              <w:left w:w="15" w:type="dxa"/>
              <w:right w:w="15" w:type="dxa"/>
            </w:tcMar>
            <w:vAlign w:val="center"/>
          </w:tcPr>
          <w:p w:rsidR="009921A8" w:rsidRDefault="009921A8" w:rsidP="006D7269">
            <w:pPr>
              <w:widowControl/>
              <w:jc w:val="left"/>
              <w:textAlignment w:val="center"/>
              <w:rPr>
                <w:rFonts w:ascii="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9921A8" w:rsidRDefault="009921A8" w:rsidP="00C50624">
      <w:pPr>
        <w:jc w:val="center"/>
        <w:rPr>
          <w:rFonts w:ascii="仿宋_GB2312" w:eastAsia="仿宋_GB2312" w:hAnsi="仿宋_GB2312"/>
          <w:sz w:val="32"/>
          <w:szCs w:val="32"/>
        </w:rPr>
        <w:sectPr w:rsidR="009921A8">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说明：我部门没有政府性基金收入，也没有使用政府性基金安排的支出，故本表无数据。</w:t>
      </w: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jc w:val="center"/>
        <w:outlineLvl w:val="0"/>
        <w:rPr>
          <w:rFonts w:ascii="黑体" w:eastAsia="黑体" w:hAnsi="黑体"/>
          <w:sz w:val="48"/>
          <w:szCs w:val="48"/>
        </w:rPr>
      </w:pPr>
      <w:r>
        <w:rPr>
          <w:rFonts w:ascii="黑体" w:eastAsia="黑体" w:hAnsi="黑体" w:cs="黑体" w:hint="eastAsia"/>
          <w:sz w:val="48"/>
          <w:szCs w:val="48"/>
        </w:rPr>
        <w:t>第三部分</w:t>
      </w:r>
      <w:r>
        <w:rPr>
          <w:rFonts w:ascii="黑体" w:eastAsia="黑体" w:hAnsi="黑体" w:cs="黑体"/>
          <w:sz w:val="48"/>
          <w:szCs w:val="48"/>
        </w:rPr>
        <w:t xml:space="preserve">  2018</w:t>
      </w:r>
      <w:r>
        <w:rPr>
          <w:rFonts w:ascii="黑体" w:eastAsia="黑体" w:hAnsi="黑体" w:cs="黑体" w:hint="eastAsia"/>
          <w:sz w:val="48"/>
          <w:szCs w:val="48"/>
        </w:rPr>
        <w:t>年度部门决算情况说明</w:t>
      </w:r>
    </w:p>
    <w:p w:rsidR="009921A8" w:rsidRDefault="009921A8" w:rsidP="00C50624">
      <w:pPr>
        <w:widowControl/>
        <w:jc w:val="left"/>
        <w:rPr>
          <w:rFonts w:ascii="黑体" w:eastAsia="黑体" w:hAnsi="黑体"/>
          <w:sz w:val="48"/>
          <w:szCs w:val="48"/>
        </w:rPr>
        <w:sectPr w:rsidR="009921A8">
          <w:pgSz w:w="11906" w:h="16838"/>
          <w:pgMar w:top="1440" w:right="1800" w:bottom="1440" w:left="1800" w:header="720" w:footer="720" w:gutter="0"/>
          <w:pgNumType w:fmt="numberInDash"/>
          <w:cols w:space="720"/>
          <w:docGrid w:type="lines" w:linePitch="312"/>
        </w:sectPr>
      </w:pP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一、收入支出决算总体情况说明</w:t>
      </w:r>
    </w:p>
    <w:p w:rsidR="009921A8" w:rsidRDefault="009921A8" w:rsidP="00A0031C">
      <w:pPr>
        <w:widowControl/>
        <w:spacing w:line="590" w:lineRule="exact"/>
        <w:ind w:firstLineChars="200" w:firstLine="31680"/>
        <w:rPr>
          <w:rFonts w:ascii="黑体" w:eastAsia="黑体" w:hAnsi="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年度收、支总计均为</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万元。与上年度</w:t>
      </w:r>
      <w:r>
        <w:rPr>
          <w:rFonts w:ascii="仿宋_GB2312" w:eastAsia="仿宋_GB2312" w:hAnsi="仿宋_GB2312" w:cs="仿宋_GB2312"/>
          <w:sz w:val="32"/>
          <w:szCs w:val="32"/>
        </w:rPr>
        <w:t>51.51</w:t>
      </w:r>
      <w:r>
        <w:rPr>
          <w:rFonts w:ascii="仿宋_GB2312" w:eastAsia="仿宋_GB2312" w:hAnsi="仿宋_GB2312" w:cs="仿宋_GB2312" w:hint="eastAsia"/>
          <w:sz w:val="32"/>
          <w:szCs w:val="32"/>
        </w:rPr>
        <w:t>万元相比，收、支总计各增加</w:t>
      </w:r>
      <w:r>
        <w:rPr>
          <w:rFonts w:ascii="仿宋_GB2312" w:eastAsia="仿宋_GB2312" w:hAnsi="仿宋_GB2312" w:cs="仿宋_GB2312"/>
          <w:sz w:val="32"/>
          <w:szCs w:val="32"/>
        </w:rPr>
        <w:t>3.45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年无在编人员，</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年增加在编人员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二、收入决算情况说明</w:t>
      </w:r>
    </w:p>
    <w:p w:rsidR="009921A8" w:rsidRDefault="009921A8" w:rsidP="00A0031C">
      <w:pPr>
        <w:widowControl/>
        <w:spacing w:line="590" w:lineRule="exact"/>
        <w:ind w:firstLineChars="200" w:firstLine="31680"/>
        <w:rPr>
          <w:rFonts w:ascii="黑体" w:eastAsia="黑体" w:hAnsi="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三、支出决算情况说明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11.87</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21.6%</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43.09</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78.4%</w:t>
      </w:r>
      <w:r>
        <w:rPr>
          <w:rFonts w:ascii="仿宋_GB2312" w:eastAsia="仿宋_GB2312" w:hAnsi="仿宋_GB2312" w:cs="仿宋_GB2312" w:hint="eastAsia"/>
          <w:sz w:val="32"/>
          <w:szCs w:val="32"/>
        </w:rPr>
        <w:t>；</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四、财政拨款收入支出决算总体情况说明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年度财政拨款收、支总计均为</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万元。与上年度</w:t>
      </w:r>
      <w:r>
        <w:rPr>
          <w:rFonts w:ascii="仿宋_GB2312" w:eastAsia="仿宋_GB2312" w:hAnsi="仿宋_GB2312" w:cs="仿宋_GB2312"/>
          <w:sz w:val="32"/>
          <w:szCs w:val="32"/>
        </w:rPr>
        <w:t>51.51</w:t>
      </w:r>
      <w:r>
        <w:rPr>
          <w:rFonts w:ascii="仿宋_GB2312" w:eastAsia="仿宋_GB2312" w:hAnsi="仿宋_GB2312" w:cs="仿宋_GB2312" w:hint="eastAsia"/>
          <w:sz w:val="32"/>
          <w:szCs w:val="32"/>
        </w:rPr>
        <w:t>万元相比，财政拨款收、支总计各增加</w:t>
      </w:r>
      <w:r>
        <w:rPr>
          <w:rFonts w:ascii="仿宋_GB2312" w:eastAsia="仿宋_GB2312" w:hAnsi="仿宋_GB2312" w:cs="仿宋_GB2312"/>
          <w:sz w:val="32"/>
          <w:szCs w:val="32"/>
        </w:rPr>
        <w:t>3.45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年无在编人员，</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年增加在编人员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五、一般公共预算财政拨款支出决算情况说明</w:t>
      </w:r>
    </w:p>
    <w:p w:rsidR="009921A8" w:rsidRDefault="009921A8" w:rsidP="00A0031C">
      <w:pPr>
        <w:widowControl/>
        <w:spacing w:line="590" w:lineRule="exact"/>
        <w:ind w:firstLineChars="200" w:firstLine="31680"/>
        <w:rPr>
          <w:rFonts w:ascii="楷体_GB2312" w:eastAsia="楷体_GB2312" w:hAnsi="楷体_GB2312"/>
          <w:b/>
          <w:bCs/>
          <w:sz w:val="32"/>
          <w:szCs w:val="32"/>
        </w:rPr>
      </w:pPr>
      <w:r>
        <w:rPr>
          <w:rFonts w:ascii="楷体_GB2312" w:eastAsia="楷体_GB2312" w:hAnsi="楷体_GB2312" w:cs="楷体_GB2312" w:hint="eastAsia"/>
          <w:b/>
          <w:bCs/>
          <w:sz w:val="32"/>
          <w:szCs w:val="32"/>
        </w:rPr>
        <w:t>（一）总体情况。</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。与上年度</w:t>
      </w:r>
      <w:r>
        <w:rPr>
          <w:rFonts w:ascii="仿宋_GB2312" w:eastAsia="仿宋_GB2312" w:hAnsi="仿宋_GB2312" w:cs="仿宋_GB2312"/>
          <w:sz w:val="32"/>
          <w:szCs w:val="32"/>
        </w:rPr>
        <w:t>51.51</w:t>
      </w:r>
      <w:r>
        <w:rPr>
          <w:rFonts w:ascii="仿宋_GB2312" w:eastAsia="仿宋_GB2312" w:hAnsi="仿宋_GB2312" w:cs="仿宋_GB2312" w:hint="eastAsia"/>
          <w:sz w:val="32"/>
          <w:szCs w:val="32"/>
        </w:rPr>
        <w:t>万元相比，一般公共预算财政拨款支出增加</w:t>
      </w:r>
      <w:r>
        <w:rPr>
          <w:rFonts w:ascii="仿宋_GB2312" w:eastAsia="仿宋_GB2312" w:hAnsi="仿宋_GB2312" w:cs="仿宋_GB2312"/>
          <w:sz w:val="32"/>
          <w:szCs w:val="32"/>
        </w:rPr>
        <w:t>3.45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6.7%</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年无在编人员，</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年增加在编人员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w:t>
      </w:r>
    </w:p>
    <w:p w:rsidR="009921A8" w:rsidRDefault="009921A8" w:rsidP="00A0031C">
      <w:pPr>
        <w:widowControl/>
        <w:spacing w:line="590" w:lineRule="exact"/>
        <w:ind w:firstLineChars="200" w:firstLine="31680"/>
        <w:rPr>
          <w:rFonts w:ascii="楷体_GB2312" w:eastAsia="楷体_GB2312" w:hAnsi="楷体_GB2312"/>
          <w:b/>
          <w:bCs/>
          <w:sz w:val="32"/>
          <w:szCs w:val="32"/>
        </w:rPr>
      </w:pPr>
      <w:r>
        <w:rPr>
          <w:rFonts w:ascii="楷体_GB2312" w:eastAsia="楷体_GB2312" w:hAnsi="楷体_GB2312" w:cs="楷体_GB2312" w:hint="eastAsia"/>
          <w:b/>
          <w:bCs/>
          <w:sz w:val="32"/>
          <w:szCs w:val="32"/>
        </w:rPr>
        <w:t>（二）结构情况。</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9921A8" w:rsidRDefault="009921A8" w:rsidP="00A0031C">
      <w:pPr>
        <w:widowControl/>
        <w:spacing w:line="590" w:lineRule="exact"/>
        <w:ind w:firstLineChars="200" w:firstLine="31680"/>
        <w:rPr>
          <w:rFonts w:ascii="楷体_GB2312" w:eastAsia="楷体_GB2312" w:hAnsi="楷体_GB2312"/>
          <w:b/>
          <w:bCs/>
          <w:sz w:val="32"/>
          <w:szCs w:val="32"/>
        </w:rPr>
      </w:pPr>
      <w:r>
        <w:rPr>
          <w:rFonts w:ascii="楷体_GB2312" w:eastAsia="楷体_GB2312" w:hAnsi="楷体_GB2312" w:cs="楷体_GB2312" w:hint="eastAsia"/>
          <w:b/>
          <w:bCs/>
          <w:sz w:val="32"/>
          <w:szCs w:val="32"/>
        </w:rPr>
        <w:t>（三）具体情况。</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54</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54.96</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101.78%</w:t>
      </w:r>
      <w:r>
        <w:rPr>
          <w:rFonts w:ascii="仿宋_GB2312" w:eastAsia="仿宋_GB2312" w:hAnsi="仿宋_GB2312" w:cs="仿宋_GB2312" w:hint="eastAsia"/>
          <w:sz w:val="32"/>
          <w:szCs w:val="32"/>
        </w:rPr>
        <w:t>。其中：</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．一般公共服务支出（类）发展与改革事务（款）一般行政管理事务（项）。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54</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48.96</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90.67%</w:t>
      </w:r>
      <w:r>
        <w:rPr>
          <w:rFonts w:ascii="仿宋_GB2312" w:eastAsia="仿宋_GB2312" w:hAnsi="仿宋_GB2312" w:cs="仿宋_GB2312" w:hint="eastAsia"/>
          <w:sz w:val="32"/>
          <w:szCs w:val="32"/>
        </w:rPr>
        <w:t>。决算数与年初预算数存在差异的主要原因是财政拨款按照预算拨付，年末经费结余财政收回。</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．一般公共服务支出（类）其他一般公共服务支出（款）其他一般公共服务支出（项）。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5.99</w:t>
      </w:r>
      <w:r>
        <w:rPr>
          <w:rFonts w:ascii="仿宋_GB2312" w:eastAsia="仿宋_GB2312" w:hAnsi="仿宋_GB2312" w:cs="仿宋_GB2312" w:hint="eastAsia"/>
          <w:sz w:val="32"/>
          <w:szCs w:val="32"/>
        </w:rPr>
        <w:t>万元。决算数与年初预算数存在差异的主要原因是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年初预算无人员经费预算，</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月份增加在编</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人，财政追加预算</w:t>
      </w:r>
      <w:r>
        <w:rPr>
          <w:rFonts w:ascii="仿宋_GB2312" w:eastAsia="仿宋_GB2312" w:hAnsi="仿宋_GB2312" w:cs="仿宋_GB2312"/>
          <w:sz w:val="32"/>
          <w:szCs w:val="32"/>
        </w:rPr>
        <w:t>5.99</w:t>
      </w:r>
      <w:r>
        <w:rPr>
          <w:rFonts w:ascii="仿宋_GB2312" w:eastAsia="仿宋_GB2312" w:hAnsi="仿宋_GB2312" w:cs="仿宋_GB2312" w:hint="eastAsia"/>
          <w:sz w:val="32"/>
          <w:szCs w:val="32"/>
        </w:rPr>
        <w:t>万元。</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六、一般公共预算财政拨款基本支出决算情况说明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年度一般公共预算财政拨款基本支出</w:t>
      </w:r>
      <w:r>
        <w:rPr>
          <w:rFonts w:ascii="仿宋_GB2312" w:eastAsia="仿宋_GB2312" w:hAnsi="仿宋_GB2312" w:cs="仿宋_GB2312"/>
          <w:sz w:val="32"/>
          <w:szCs w:val="32"/>
        </w:rPr>
        <w:t>11.87</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5.94</w:t>
      </w:r>
      <w:r>
        <w:rPr>
          <w:rFonts w:ascii="仿宋_GB2312" w:eastAsia="仿宋_GB2312" w:hAnsi="仿宋_GB2312" w:cs="仿宋_GB2312" w:hint="eastAsia"/>
          <w:sz w:val="32"/>
          <w:szCs w:val="32"/>
        </w:rPr>
        <w:t>万元，主要包括：基本工资、奖金、职业年金缴费、职工基本医疗保险缴费、其他社会保障缴费、住房公积金、其他工资福利支出；公用经费</w:t>
      </w:r>
      <w:r>
        <w:rPr>
          <w:rFonts w:ascii="仿宋_GB2312" w:eastAsia="仿宋_GB2312" w:hAnsi="仿宋_GB2312" w:cs="仿宋_GB2312"/>
          <w:sz w:val="32"/>
          <w:szCs w:val="32"/>
        </w:rPr>
        <w:t>5.93</w:t>
      </w:r>
      <w:r>
        <w:rPr>
          <w:rFonts w:ascii="仿宋_GB2312" w:eastAsia="仿宋_GB2312" w:hAnsi="仿宋_GB2312" w:cs="仿宋_GB2312" w:hint="eastAsia"/>
          <w:sz w:val="32"/>
          <w:szCs w:val="32"/>
        </w:rPr>
        <w:t>万元，主要包括：办公费、福利费。</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七、一般公共预算财政拨款“三公”经费支出决算情况说明</w:t>
      </w:r>
    </w:p>
    <w:p w:rsidR="009921A8" w:rsidRDefault="009921A8" w:rsidP="00A0031C">
      <w:pPr>
        <w:widowControl/>
        <w:spacing w:line="590" w:lineRule="exact"/>
        <w:ind w:firstLineChars="200" w:firstLine="31680"/>
        <w:outlineLvl w:val="2"/>
        <w:rPr>
          <w:rFonts w:ascii="楷体_GB2312" w:eastAsia="楷体_GB2312" w:hAnsi="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6.56</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65.6%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年度“三公”经费支出决算数与预算数存在差异的主要原因是公务接待费相比年初预算减少</w:t>
      </w:r>
      <w:r>
        <w:rPr>
          <w:rFonts w:ascii="仿宋_GB2312" w:eastAsia="仿宋_GB2312" w:hAnsi="仿宋_GB2312" w:cs="仿宋_GB2312"/>
          <w:sz w:val="32"/>
          <w:szCs w:val="32"/>
        </w:rPr>
        <w:t>4.6</w:t>
      </w:r>
      <w:r>
        <w:rPr>
          <w:rFonts w:ascii="仿宋_GB2312" w:eastAsia="仿宋_GB2312" w:hAnsi="仿宋_GB2312" w:cs="仿宋_GB2312" w:hint="eastAsia"/>
          <w:sz w:val="32"/>
          <w:szCs w:val="32"/>
        </w:rPr>
        <w:t>万元，公务用车运行费相比年初预算增多</w:t>
      </w:r>
      <w:r>
        <w:rPr>
          <w:rFonts w:ascii="仿宋_GB2312" w:eastAsia="仿宋_GB2312" w:hAnsi="仿宋_GB2312" w:cs="仿宋_GB2312"/>
          <w:sz w:val="32"/>
          <w:szCs w:val="32"/>
        </w:rPr>
        <w:t>1.15</w:t>
      </w:r>
      <w:r>
        <w:rPr>
          <w:rFonts w:ascii="仿宋_GB2312" w:eastAsia="仿宋_GB2312" w:hAnsi="仿宋_GB2312" w:cs="仿宋_GB2312" w:hint="eastAsia"/>
          <w:sz w:val="32"/>
          <w:szCs w:val="32"/>
        </w:rPr>
        <w:t>万元。</w:t>
      </w:r>
    </w:p>
    <w:p w:rsidR="009921A8" w:rsidRDefault="009921A8" w:rsidP="00A0031C">
      <w:pPr>
        <w:widowControl/>
        <w:spacing w:line="590" w:lineRule="exact"/>
        <w:ind w:firstLineChars="200" w:firstLine="31680"/>
        <w:outlineLvl w:val="2"/>
        <w:rPr>
          <w:rFonts w:ascii="楷体_GB2312" w:eastAsia="楷体_GB2312" w:hAnsi="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w:t>
      </w:r>
      <w:r>
        <w:rPr>
          <w:rFonts w:ascii="仿宋_GB2312" w:eastAsia="仿宋_GB2312" w:hAnsi="仿宋_GB2312" w:cs="仿宋_GB2312"/>
          <w:sz w:val="32"/>
          <w:szCs w:val="32"/>
        </w:rPr>
        <w:t>6.15</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123%</w:t>
      </w:r>
      <w:r>
        <w:rPr>
          <w:rFonts w:ascii="仿宋_GB2312" w:eastAsia="仿宋_GB2312" w:hAnsi="仿宋_GB2312" w:cs="仿宋_GB2312" w:hint="eastAsia"/>
          <w:sz w:val="32"/>
          <w:szCs w:val="32"/>
        </w:rPr>
        <w:t>，占</w:t>
      </w:r>
      <w:r>
        <w:rPr>
          <w:rFonts w:ascii="仿宋_GB2312" w:eastAsia="仿宋_GB2312" w:hAnsi="仿宋_GB2312" w:cs="仿宋_GB2312"/>
          <w:sz w:val="32"/>
          <w:szCs w:val="32"/>
        </w:rPr>
        <w:t>61.5%</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0.4</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，占</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。具体情况如下：</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．因公出国（境）费</w:t>
      </w:r>
      <w:r>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wave"/>
        </w:rPr>
        <w:t>全年因公出国（境）团组</w:t>
      </w:r>
      <w:r>
        <w:rPr>
          <w:rFonts w:ascii="仿宋_GB2312" w:eastAsia="仿宋_GB2312" w:hAnsi="仿宋_GB2312" w:cs="仿宋_GB2312"/>
          <w:sz w:val="32"/>
          <w:szCs w:val="32"/>
          <w:u w:val="wave"/>
        </w:rPr>
        <w:t>0</w:t>
      </w:r>
      <w:r>
        <w:rPr>
          <w:rFonts w:ascii="仿宋_GB2312" w:eastAsia="仿宋_GB2312" w:hAnsi="仿宋_GB2312" w:cs="仿宋_GB2312" w:hint="eastAsia"/>
          <w:sz w:val="32"/>
          <w:szCs w:val="32"/>
          <w:u w:val="wave"/>
        </w:rPr>
        <w:t>个，累计</w:t>
      </w:r>
      <w:r>
        <w:rPr>
          <w:rFonts w:ascii="仿宋_GB2312" w:eastAsia="仿宋_GB2312" w:hAnsi="仿宋_GB2312" w:cs="仿宋_GB2312"/>
          <w:sz w:val="32"/>
          <w:szCs w:val="32"/>
          <w:u w:val="wave"/>
        </w:rPr>
        <w:t>0</w:t>
      </w:r>
      <w:r>
        <w:rPr>
          <w:rFonts w:ascii="仿宋_GB2312" w:eastAsia="仿宋_GB2312" w:hAnsi="仿宋_GB2312" w:cs="仿宋_GB2312" w:hint="eastAsia"/>
          <w:sz w:val="32"/>
          <w:szCs w:val="32"/>
          <w:u w:val="wave"/>
        </w:rPr>
        <w:t>人次</w:t>
      </w:r>
      <w:r>
        <w:rPr>
          <w:rStyle w:val="FootnoteReference"/>
          <w:rFonts w:ascii="仿宋_GB2312" w:eastAsia="仿宋_GB2312" w:hAnsi="仿宋_GB2312"/>
          <w:sz w:val="32"/>
          <w:szCs w:val="32"/>
          <w:u w:val="wave"/>
        </w:rPr>
        <w:footnoteReference w:id="1"/>
      </w:r>
      <w:r>
        <w:rPr>
          <w:rFonts w:ascii="仿宋_GB2312" w:eastAsia="仿宋_GB2312" w:hAnsi="仿宋_GB2312" w:cs="仿宋_GB2312" w:hint="eastAsia"/>
          <w:sz w:val="32"/>
          <w:szCs w:val="32"/>
          <w:u w:val="wave"/>
        </w:rPr>
        <w:t>。</w:t>
      </w:r>
      <w:r>
        <w:rPr>
          <w:rFonts w:ascii="仿宋_GB2312" w:eastAsia="仿宋_GB2312" w:hAnsi="仿宋_GB2312" w:cs="仿宋_GB2312" w:hint="eastAsia"/>
          <w:sz w:val="32"/>
          <w:szCs w:val="32"/>
        </w:rPr>
        <w:t>开支内容包括：无。</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．公务用车购置及运行费</w:t>
      </w:r>
      <w:r>
        <w:rPr>
          <w:rFonts w:ascii="仿宋_GB2312" w:eastAsia="仿宋_GB2312" w:hAnsi="仿宋_GB2312" w:cs="仿宋_GB2312" w:hint="eastAsia"/>
          <w:sz w:val="32"/>
          <w:szCs w:val="32"/>
          <w:u w:val="dotDash"/>
        </w:rPr>
        <w:t>年</w:t>
      </w:r>
      <w:r>
        <w:rPr>
          <w:rStyle w:val="FootnoteReference"/>
          <w:rFonts w:ascii="仿宋_GB2312" w:eastAsia="仿宋_GB2312" w:hAnsi="仿宋_GB2312"/>
          <w:sz w:val="32"/>
          <w:szCs w:val="32"/>
          <w:u w:val="dotDash"/>
        </w:rPr>
        <w:footnoteReference w:id="2"/>
      </w:r>
      <w:r>
        <w:rPr>
          <w:rFonts w:ascii="仿宋_GB2312" w:eastAsia="仿宋_GB2312" w:hAnsi="仿宋_GB2312" w:cs="仿宋_GB2312" w:hint="eastAsia"/>
          <w:sz w:val="32"/>
          <w:szCs w:val="32"/>
        </w:rPr>
        <w:t>初预算为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6.15</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123%</w:t>
      </w:r>
      <w:r>
        <w:rPr>
          <w:rFonts w:ascii="仿宋_GB2312" w:eastAsia="仿宋_GB2312" w:hAnsi="仿宋_GB2312" w:cs="仿宋_GB2312" w:hint="eastAsia"/>
          <w:sz w:val="32"/>
          <w:szCs w:val="32"/>
        </w:rPr>
        <w:t>。决算数与年初预算数存在差异的主要原因是大东区涉及区域面积大，市委市政府下达任务量多，尤其是户外调研任务居多，车辆使用频繁。其中：</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万元，购置车辆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sz w:val="32"/>
          <w:szCs w:val="32"/>
        </w:rPr>
        <w:t>6.15</w:t>
      </w:r>
      <w:r>
        <w:rPr>
          <w:rFonts w:ascii="仿宋_GB2312" w:eastAsia="仿宋_GB2312" w:hAnsi="仿宋_GB2312" w:cs="仿宋_GB2312" w:hint="eastAsia"/>
          <w:sz w:val="32"/>
          <w:szCs w:val="32"/>
        </w:rPr>
        <w:t>万元。主要用于燃油、车辆维护。</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年期末，部门开支财政拨款的公务用车保有量为</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辆，借调事管局公务车</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公务接待费</w:t>
      </w:r>
      <w:r>
        <w:rPr>
          <w:rFonts w:ascii="仿宋_GB2312" w:eastAsia="仿宋_GB2312" w:hAnsi="仿宋_GB2312" w:cs="仿宋_GB2312" w:hint="eastAsia"/>
          <w:sz w:val="32"/>
          <w:szCs w:val="32"/>
          <w:u w:val="dotDash"/>
        </w:rPr>
        <w:t>年</w:t>
      </w:r>
      <w:r>
        <w:rPr>
          <w:rStyle w:val="FootnoteReference"/>
          <w:rFonts w:ascii="仿宋_GB2312" w:eastAsia="仿宋_GB2312" w:hAnsi="仿宋_GB2312"/>
          <w:sz w:val="32"/>
          <w:szCs w:val="32"/>
          <w:u w:val="dotDash"/>
        </w:rPr>
        <w:footnoteReference w:id="3"/>
      </w:r>
      <w:r>
        <w:rPr>
          <w:rFonts w:ascii="仿宋_GB2312" w:eastAsia="仿宋_GB2312" w:hAnsi="仿宋_GB2312" w:cs="仿宋_GB2312" w:hint="eastAsia"/>
          <w:sz w:val="32"/>
          <w:szCs w:val="32"/>
        </w:rPr>
        <w:t>初预算为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0.4</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。决算数与年初预算数存在差异的主要原因是进一步压缩接待经费。其中：</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年共接待国（境）外来访团组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个、来访外宾</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人次（不包括陪同人员）。</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sz w:val="32"/>
          <w:szCs w:val="32"/>
        </w:rPr>
        <w:t>0.4</w:t>
      </w:r>
      <w:r>
        <w:rPr>
          <w:rFonts w:ascii="仿宋_GB2312" w:eastAsia="仿宋_GB2312" w:hAnsi="仿宋_GB2312" w:cs="仿宋_GB2312" w:hint="eastAsia"/>
          <w:sz w:val="32"/>
          <w:szCs w:val="32"/>
        </w:rPr>
        <w:t>万元。主要用于接待到大东区考察调研的上级领导及招商引资的客商。</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年共接待国内来访团组</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个、来宾</w:t>
      </w:r>
      <w:r>
        <w:rPr>
          <w:rFonts w:ascii="仿宋_GB2312" w:eastAsia="仿宋_GB2312" w:hAnsi="仿宋_GB2312" w:cs="仿宋_GB2312"/>
          <w:sz w:val="32"/>
          <w:szCs w:val="32"/>
        </w:rPr>
        <w:t>41</w:t>
      </w:r>
      <w:r>
        <w:rPr>
          <w:rFonts w:ascii="仿宋_GB2312" w:eastAsia="仿宋_GB2312" w:hAnsi="仿宋_GB2312" w:cs="仿宋_GB2312" w:hint="eastAsia"/>
          <w:sz w:val="32"/>
          <w:szCs w:val="32"/>
        </w:rPr>
        <w:t>人次（不包括陪同人员）。</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八、预算绩效情况说明</w:t>
      </w:r>
    </w:p>
    <w:p w:rsidR="009921A8" w:rsidRDefault="009921A8" w:rsidP="00A0031C">
      <w:pPr>
        <w:widowControl/>
        <w:spacing w:line="590" w:lineRule="exact"/>
        <w:ind w:firstLineChars="200" w:firstLine="31680"/>
        <w:outlineLvl w:val="2"/>
        <w:rPr>
          <w:rFonts w:ascii="楷体_GB2312" w:eastAsia="楷体_GB2312" w:hAnsi="楷体_GB2312"/>
          <w:b/>
          <w:bCs/>
          <w:sz w:val="32"/>
          <w:szCs w:val="32"/>
        </w:rPr>
      </w:pPr>
      <w:r>
        <w:rPr>
          <w:rFonts w:ascii="楷体_GB2312" w:eastAsia="楷体_GB2312" w:hAnsi="楷体_GB2312" w:cs="楷体_GB2312" w:hint="eastAsia"/>
          <w:b/>
          <w:bCs/>
          <w:sz w:val="32"/>
          <w:szCs w:val="32"/>
        </w:rPr>
        <w:t>（一）绩效管理工作开展情况。</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我办严格按照年初所列预算按期按额进行支出，能够将财政预算很好的运用到大东区及新乡市商务中心区的规划建设当中，为市委市政府提供科学决策依据，使财政资金发挥很好的作用。</w:t>
      </w:r>
    </w:p>
    <w:p w:rsidR="009921A8" w:rsidRDefault="009921A8" w:rsidP="00A0031C">
      <w:pPr>
        <w:widowControl/>
        <w:spacing w:line="590" w:lineRule="exact"/>
        <w:ind w:firstLineChars="200" w:firstLine="31680"/>
        <w:outlineLvl w:val="2"/>
        <w:rPr>
          <w:rFonts w:ascii="楷体_GB2312" w:eastAsia="楷体_GB2312" w:hAnsi="楷体_GB2312"/>
          <w:b/>
          <w:bCs/>
          <w:sz w:val="32"/>
          <w:szCs w:val="32"/>
        </w:rPr>
      </w:pPr>
      <w:r>
        <w:rPr>
          <w:rFonts w:ascii="楷体_GB2312" w:eastAsia="楷体_GB2312" w:hAnsi="楷体_GB2312" w:cs="楷体_GB2312" w:hint="eastAsia"/>
          <w:b/>
          <w:bCs/>
          <w:sz w:val="32"/>
          <w:szCs w:val="32"/>
        </w:rPr>
        <w:t>（二）项目绩效自评结果。</w:t>
      </w:r>
    </w:p>
    <w:p w:rsidR="009921A8" w:rsidRDefault="009921A8" w:rsidP="00A0031C">
      <w:pPr>
        <w:widowControl/>
        <w:spacing w:line="590" w:lineRule="exact"/>
        <w:ind w:firstLineChars="200" w:firstLine="31680"/>
        <w:outlineLvl w:val="2"/>
        <w:rPr>
          <w:rFonts w:ascii="仿宋_GB2312" w:eastAsia="仿宋_GB2312" w:hAnsi="仿宋_GB2312"/>
          <w:sz w:val="32"/>
          <w:szCs w:val="32"/>
        </w:rPr>
      </w:pPr>
      <w:r>
        <w:rPr>
          <w:rFonts w:ascii="仿宋_GB2312" w:eastAsia="仿宋_GB2312" w:hAnsi="仿宋_GB2312" w:cs="仿宋_GB2312" w:hint="eastAsia"/>
          <w:sz w:val="32"/>
          <w:szCs w:val="32"/>
        </w:rPr>
        <w:t>项目各科目支出能够按照年初预算进行分配，更好的完成了项目目标，得到了市委市政府的充分肯定。</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九、政府性基金预算财政拨款支出决算情况说明</w:t>
      </w:r>
    </w:p>
    <w:p w:rsidR="009921A8" w:rsidRDefault="009921A8" w:rsidP="00A0031C">
      <w:pPr>
        <w:widowControl/>
        <w:spacing w:line="590" w:lineRule="exact"/>
        <w:ind w:firstLineChars="200" w:firstLine="31680"/>
        <w:outlineLvl w:val="1"/>
        <w:rPr>
          <w:rFonts w:ascii="仿宋_GB2312" w:eastAsia="仿宋_GB2312" w:hAnsi="仿宋_GB2312"/>
          <w:sz w:val="32"/>
          <w:szCs w:val="32"/>
        </w:rPr>
      </w:pPr>
      <w:r>
        <w:rPr>
          <w:rFonts w:ascii="仿宋_GB2312" w:eastAsia="仿宋_GB2312" w:hAnsi="仿宋_GB2312" w:cs="仿宋_GB2312" w:hint="eastAsia"/>
          <w:sz w:val="32"/>
          <w:szCs w:val="32"/>
        </w:rPr>
        <w:t>我部门</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年度没有政府性基金收入，也没有使用政府性基金安排的支出。</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十、机关运行经费支出情况说明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年度机关运行经费支出决算为</w:t>
      </w:r>
      <w:r>
        <w:rPr>
          <w:rFonts w:ascii="仿宋_GB2312" w:eastAsia="仿宋_GB2312" w:hAnsi="仿宋_GB2312" w:cs="仿宋_GB2312"/>
          <w:sz w:val="32"/>
          <w:szCs w:val="32"/>
        </w:rPr>
        <w:t>5.93</w:t>
      </w:r>
      <w:r>
        <w:rPr>
          <w:rFonts w:ascii="仿宋_GB2312" w:eastAsia="仿宋_GB2312" w:hAnsi="仿宋_GB2312" w:cs="仿宋_GB2312" w:hint="eastAsia"/>
          <w:sz w:val="32"/>
          <w:szCs w:val="32"/>
        </w:rPr>
        <w:t>万元，其中：办公费</w:t>
      </w:r>
      <w:r>
        <w:rPr>
          <w:rFonts w:ascii="仿宋_GB2312" w:eastAsia="仿宋_GB2312" w:hAnsi="仿宋_GB2312" w:cs="仿宋_GB2312"/>
          <w:sz w:val="32"/>
          <w:szCs w:val="32"/>
        </w:rPr>
        <w:t>5.82</w:t>
      </w:r>
      <w:r>
        <w:rPr>
          <w:rFonts w:ascii="仿宋_GB2312" w:eastAsia="仿宋_GB2312" w:hAnsi="仿宋_GB2312" w:cs="仿宋_GB2312" w:hint="eastAsia"/>
          <w:sz w:val="32"/>
          <w:szCs w:val="32"/>
        </w:rPr>
        <w:t>万元；福利费</w:t>
      </w:r>
      <w:r>
        <w:rPr>
          <w:rFonts w:ascii="仿宋_GB2312" w:eastAsia="仿宋_GB2312" w:hAnsi="仿宋_GB2312" w:cs="仿宋_GB2312"/>
          <w:sz w:val="32"/>
          <w:szCs w:val="32"/>
        </w:rPr>
        <w:t>0.11</w:t>
      </w:r>
      <w:r>
        <w:rPr>
          <w:rFonts w:ascii="仿宋_GB2312" w:eastAsia="仿宋_GB2312" w:hAnsi="仿宋_GB2312" w:cs="仿宋_GB2312" w:hint="eastAsia"/>
          <w:sz w:val="32"/>
          <w:szCs w:val="32"/>
        </w:rPr>
        <w:t>万元。主要保障机构正常运转及机关职能需要。</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十一、政府采购支出情况说明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2.62</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sz w:val="32"/>
          <w:szCs w:val="32"/>
        </w:rPr>
        <w:t>2.62</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sz w:val="32"/>
          <w:szCs w:val="32"/>
        </w:rPr>
        <w:t>2.62</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sz w:val="32"/>
          <w:szCs w:val="32"/>
        </w:rPr>
        <w:t>2.62</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9921A8" w:rsidRDefault="009921A8" w:rsidP="00A0031C">
      <w:pPr>
        <w:widowControl/>
        <w:spacing w:line="590" w:lineRule="exact"/>
        <w:ind w:firstLineChars="200" w:firstLine="31680"/>
        <w:outlineLvl w:val="1"/>
        <w:rPr>
          <w:rFonts w:ascii="黑体" w:eastAsia="黑体" w:hAnsi="黑体"/>
          <w:sz w:val="32"/>
          <w:szCs w:val="32"/>
        </w:rPr>
      </w:pPr>
      <w:r>
        <w:rPr>
          <w:rFonts w:ascii="黑体" w:eastAsia="黑体" w:hAnsi="黑体" w:cs="黑体" w:hint="eastAsia"/>
          <w:sz w:val="32"/>
          <w:szCs w:val="32"/>
        </w:rPr>
        <w:t>十二、国有资产占用情况说明</w:t>
      </w:r>
    </w:p>
    <w:p w:rsidR="009921A8" w:rsidRDefault="009921A8" w:rsidP="00A0031C">
      <w:pPr>
        <w:widowControl/>
        <w:spacing w:line="59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年期末，我部门共有车辆</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辆，其中：机要通信用车</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9921A8" w:rsidRDefault="009921A8" w:rsidP="00C50624">
      <w:pPr>
        <w:widowControl/>
        <w:jc w:val="left"/>
        <w:rPr>
          <w:rFonts w:ascii="楷体_GB2312" w:eastAsia="楷体_GB2312" w:hAnsi="楷体_GB2312"/>
          <w:sz w:val="32"/>
          <w:szCs w:val="32"/>
        </w:rPr>
        <w:sectPr w:rsidR="009921A8">
          <w:pgSz w:w="11906" w:h="16838"/>
          <w:pgMar w:top="1440" w:right="1800" w:bottom="1440" w:left="1800" w:header="720" w:footer="720" w:gutter="0"/>
          <w:pgNumType w:fmt="numberInDash"/>
          <w:cols w:space="720"/>
          <w:docGrid w:type="lines" w:linePitch="312"/>
        </w:sect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widowControl/>
        <w:jc w:val="left"/>
        <w:rPr>
          <w:rFonts w:ascii="黑体" w:eastAsia="黑体" w:hAnsi="宋体"/>
          <w:kern w:val="0"/>
          <w:sz w:val="28"/>
          <w:szCs w:val="28"/>
        </w:rPr>
      </w:pPr>
    </w:p>
    <w:p w:rsidR="009921A8" w:rsidRDefault="009921A8" w:rsidP="00C50624">
      <w:pPr>
        <w:jc w:val="center"/>
        <w:outlineLvl w:val="0"/>
        <w:rPr>
          <w:rFonts w:ascii="黑体" w:eastAsia="黑体" w:hAnsi="黑体"/>
          <w:sz w:val="48"/>
          <w:szCs w:val="48"/>
        </w:rPr>
      </w:pPr>
      <w:r>
        <w:rPr>
          <w:rFonts w:ascii="黑体" w:eastAsia="黑体" w:hAnsi="黑体" w:cs="黑体" w:hint="eastAsia"/>
          <w:sz w:val="48"/>
          <w:szCs w:val="48"/>
        </w:rPr>
        <w:t>第四部分</w:t>
      </w:r>
      <w:r>
        <w:rPr>
          <w:rFonts w:ascii="黑体" w:eastAsia="黑体" w:hAnsi="黑体" w:cs="黑体"/>
          <w:sz w:val="48"/>
          <w:szCs w:val="48"/>
        </w:rPr>
        <w:t xml:space="preserve">  </w:t>
      </w:r>
      <w:r>
        <w:rPr>
          <w:rFonts w:ascii="黑体" w:eastAsia="黑体" w:hAnsi="黑体" w:cs="黑体" w:hint="eastAsia"/>
          <w:sz w:val="48"/>
          <w:szCs w:val="48"/>
        </w:rPr>
        <w:t>名词解释</w:t>
      </w:r>
    </w:p>
    <w:p w:rsidR="009921A8" w:rsidRDefault="009921A8" w:rsidP="00C50624">
      <w:pPr>
        <w:jc w:val="center"/>
        <w:rPr>
          <w:rFonts w:ascii="黑体" w:eastAsia="黑体" w:hAnsi="黑体"/>
          <w:sz w:val="48"/>
          <w:szCs w:val="48"/>
        </w:rPr>
      </w:pPr>
    </w:p>
    <w:p w:rsidR="009921A8" w:rsidRDefault="009921A8" w:rsidP="00C50624">
      <w:pPr>
        <w:jc w:val="center"/>
        <w:outlineLvl w:val="0"/>
        <w:rPr>
          <w:rFonts w:ascii="黑体" w:eastAsia="黑体" w:hAnsi="黑体"/>
          <w:sz w:val="48"/>
          <w:szCs w:val="48"/>
        </w:rPr>
        <w:sectPr w:rsidR="009921A8">
          <w:pgSz w:w="11906" w:h="16838"/>
          <w:pgMar w:top="1440" w:right="1531" w:bottom="1440" w:left="1587" w:header="850" w:footer="992" w:gutter="0"/>
          <w:pgNumType w:fmt="numberInDash"/>
          <w:cols w:space="720"/>
          <w:docGrid w:type="lines" w:linePitch="317"/>
        </w:sectPr>
      </w:pP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十三、商品和服务支出：单位购买商品和服务的支出。</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9921A8" w:rsidRDefault="009921A8" w:rsidP="00A0031C">
      <w:pPr>
        <w:widowControl/>
        <w:spacing w:line="590" w:lineRule="exact"/>
        <w:ind w:firstLineChars="200"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9921A8" w:rsidRPr="00C50624" w:rsidRDefault="009921A8"/>
    <w:sectPr w:rsidR="009921A8" w:rsidRPr="00C50624" w:rsidSect="006760CD">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1A8" w:rsidRDefault="009921A8" w:rsidP="00C50624">
      <w:r>
        <w:separator/>
      </w:r>
    </w:p>
  </w:endnote>
  <w:endnote w:type="continuationSeparator" w:id="0">
    <w:p w:rsidR="009921A8" w:rsidRDefault="009921A8" w:rsidP="00C50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A8" w:rsidRDefault="009921A8">
    <w:pPr>
      <w:pStyle w:val="Footer"/>
      <w:rPr>
        <w:rFonts w:cs="Times New Roman"/>
      </w:rPr>
    </w:pPr>
    <w:r>
      <w:rPr>
        <w:noProof/>
      </w:rPr>
      <w:pict>
        <v:shapetype id="_x0000_t202" coordsize="21600,21600" o:spt="202" path="m,l,21600r21600,l21600,xe">
          <v:stroke joinstyle="miter"/>
          <v:path gradientshapeok="t" o:connecttype="rect"/>
        </v:shapetype>
        <v:shape id="文本框 2054" o:spid="_x0000_s2049" type="#_x0000_t202" style="position:absolute;margin-left:0;margin-top:0;width:19.5pt;height:20.7pt;z-index:251658240;mso-wrap-style:none;mso-position-horizontal:center;mso-position-horizontal-relative:margin" filled="f" stroked="f">
          <v:fill o:detectmouseclick="t"/>
          <v:textbox style="mso-fit-shape-to-text:t" inset="0,0,0,0">
            <w:txbxContent>
              <w:p w:rsidR="009921A8" w:rsidRDefault="009921A8">
                <w:pPr>
                  <w:snapToGrid w:val="0"/>
                  <w:rPr>
                    <w:sz w:val="18"/>
                    <w:szCs w:val="18"/>
                  </w:rPr>
                </w:pPr>
                <w:fldSimple w:instr=" PAGE  \* MERGEFORMAT ">
                  <w:r w:rsidRPr="00330997">
                    <w:rPr>
                      <w:noProof/>
                      <w:sz w:val="18"/>
                      <w:szCs w:val="18"/>
                    </w:rPr>
                    <w:t>- 4 -</w:t>
                  </w:r>
                </w:fldSimple>
              </w:p>
            </w:txbxContent>
          </v:textbox>
          <w10:wrap anchorx="margin"/>
        </v:shape>
      </w:pict>
    </w:r>
    <w:r>
      <w:rPr>
        <w:noProof/>
      </w:rPr>
      <w:pict>
        <v:shape id="文本框 1027" o:spid="_x0000_s2050" type="#_x0000_t202" style="position:absolute;margin-left:0;margin-top:0;width:9.05pt;height:12.05pt;z-index:251657216;mso-wrap-style:none;mso-position-horizontal:center;mso-position-horizontal-relative:margin" filled="f" stroked="f">
          <v:fill o:detectmouseclick="t"/>
          <v:textbox style="mso-fit-shape-to-text:t" inset="0,0,0,0">
            <w:txbxContent>
              <w:p w:rsidR="009921A8" w:rsidRDefault="009921A8"/>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1A8" w:rsidRDefault="009921A8" w:rsidP="00C50624">
      <w:r>
        <w:separator/>
      </w:r>
    </w:p>
  </w:footnote>
  <w:footnote w:type="continuationSeparator" w:id="0">
    <w:p w:rsidR="009921A8" w:rsidRDefault="009921A8" w:rsidP="00C50624">
      <w:r>
        <w:continuationSeparator/>
      </w:r>
    </w:p>
  </w:footnote>
  <w:footnote w:id="1">
    <w:p w:rsidR="009921A8" w:rsidRDefault="009921A8" w:rsidP="00C50624">
      <w:pPr>
        <w:pStyle w:val="FootnoteText"/>
      </w:pPr>
      <w:r>
        <w:rPr>
          <w:rStyle w:val="FootnoteReference"/>
        </w:rPr>
        <w:footnoteRef/>
      </w:r>
      <w:r>
        <w:t xml:space="preserve"> 8</w:t>
      </w:r>
      <w:r>
        <w:rPr>
          <w:rFonts w:cs="宋体" w:hint="eastAsia"/>
        </w:rPr>
        <w:t>月</w:t>
      </w:r>
      <w:r>
        <w:t>12</w:t>
      </w:r>
      <w:r>
        <w:rPr>
          <w:rFonts w:cs="宋体" w:hint="eastAsia"/>
        </w:rPr>
        <w:t>日新增。</w:t>
      </w:r>
    </w:p>
  </w:footnote>
  <w:footnote w:id="2">
    <w:p w:rsidR="009921A8" w:rsidRDefault="009921A8" w:rsidP="00C50624">
      <w:pPr>
        <w:pStyle w:val="FootnoteText"/>
      </w:pPr>
      <w:r>
        <w:rPr>
          <w:rStyle w:val="FootnoteReference"/>
        </w:rPr>
        <w:footnoteRef/>
      </w:r>
      <w:r>
        <w:t xml:space="preserve"> 8</w:t>
      </w:r>
      <w:r>
        <w:rPr>
          <w:rFonts w:cs="宋体" w:hint="eastAsia"/>
        </w:rPr>
        <w:t>月</w:t>
      </w:r>
      <w:r>
        <w:t>14</w:t>
      </w:r>
      <w:r>
        <w:rPr>
          <w:rFonts w:cs="宋体" w:hint="eastAsia"/>
        </w:rPr>
        <w:t>日新增“年”。共三处，此处为第一处。</w:t>
      </w:r>
    </w:p>
  </w:footnote>
  <w:footnote w:id="3">
    <w:p w:rsidR="009921A8" w:rsidRDefault="009921A8" w:rsidP="00C50624">
      <w:pPr>
        <w:pStyle w:val="FootnoteText"/>
      </w:pPr>
      <w:r>
        <w:rPr>
          <w:rStyle w:val="FootnoteReference"/>
        </w:rPr>
        <w:footnoteRef/>
      </w:r>
      <w:r>
        <w:t xml:space="preserve"> 8</w:t>
      </w:r>
      <w:r>
        <w:rPr>
          <w:rFonts w:cs="宋体" w:hint="eastAsia"/>
        </w:rPr>
        <w:t>月</w:t>
      </w:r>
      <w:r>
        <w:t>14</w:t>
      </w:r>
      <w:r>
        <w:rPr>
          <w:rFonts w:cs="宋体" w:hint="eastAsia"/>
        </w:rPr>
        <w:t>日新增“年”。共三处，此处为第二处。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A8" w:rsidRDefault="009921A8" w:rsidP="006D7269">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624"/>
    <w:rsid w:val="000329C8"/>
    <w:rsid w:val="00202046"/>
    <w:rsid w:val="00256A60"/>
    <w:rsid w:val="002A2E69"/>
    <w:rsid w:val="00330997"/>
    <w:rsid w:val="00631DCF"/>
    <w:rsid w:val="006760CD"/>
    <w:rsid w:val="006D7269"/>
    <w:rsid w:val="00701A90"/>
    <w:rsid w:val="00927BD5"/>
    <w:rsid w:val="009921A8"/>
    <w:rsid w:val="00A0031C"/>
    <w:rsid w:val="00C506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4"/>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C50624"/>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0624"/>
    <w:rPr>
      <w:rFonts w:ascii="Times New Roman" w:eastAsia="宋体" w:hAnsi="Times New Roman" w:cs="Times New Roman"/>
      <w:b/>
      <w:bCs/>
      <w:kern w:val="44"/>
      <w:sz w:val="44"/>
      <w:szCs w:val="44"/>
    </w:rPr>
  </w:style>
  <w:style w:type="character" w:styleId="FollowedHyperlink">
    <w:name w:val="FollowedHyperlink"/>
    <w:basedOn w:val="DefaultParagraphFont"/>
    <w:uiPriority w:val="99"/>
    <w:rsid w:val="00C50624"/>
    <w:rPr>
      <w:color w:val="800080"/>
      <w:u w:val="single"/>
    </w:rPr>
  </w:style>
  <w:style w:type="character" w:styleId="Hyperlink">
    <w:name w:val="Hyperlink"/>
    <w:basedOn w:val="DefaultParagraphFont"/>
    <w:uiPriority w:val="99"/>
    <w:rsid w:val="00C50624"/>
    <w:rPr>
      <w:color w:val="0000FF"/>
      <w:u w:val="single"/>
    </w:rPr>
  </w:style>
  <w:style w:type="character" w:styleId="FootnoteReference">
    <w:name w:val="footnote reference"/>
    <w:basedOn w:val="DefaultParagraphFont"/>
    <w:uiPriority w:val="99"/>
    <w:semiHidden/>
    <w:rsid w:val="00C50624"/>
    <w:rPr>
      <w:vertAlign w:val="superscript"/>
    </w:rPr>
  </w:style>
  <w:style w:type="character" w:customStyle="1" w:styleId="font11">
    <w:name w:val="font11"/>
    <w:basedOn w:val="DefaultParagraphFont"/>
    <w:uiPriority w:val="99"/>
    <w:rsid w:val="00C50624"/>
    <w:rPr>
      <w:rFonts w:ascii="宋体" w:eastAsia="宋体" w:hAnsi="宋体" w:cs="宋体"/>
      <w:color w:val="000000"/>
      <w:sz w:val="20"/>
      <w:szCs w:val="20"/>
      <w:u w:val="none"/>
    </w:rPr>
  </w:style>
  <w:style w:type="character" w:customStyle="1" w:styleId="font01">
    <w:name w:val="font01"/>
    <w:basedOn w:val="DefaultParagraphFont"/>
    <w:uiPriority w:val="99"/>
    <w:rsid w:val="00C50624"/>
    <w:rPr>
      <w:rFonts w:ascii="宋体" w:eastAsia="宋体" w:hAnsi="宋体" w:cs="宋体"/>
      <w:color w:val="000000"/>
      <w:sz w:val="22"/>
      <w:szCs w:val="22"/>
      <w:u w:val="none"/>
    </w:rPr>
  </w:style>
  <w:style w:type="character" w:customStyle="1" w:styleId="BalloonTextChar">
    <w:name w:val="Balloon Text Char"/>
    <w:link w:val="BalloonText"/>
    <w:uiPriority w:val="99"/>
    <w:locked/>
    <w:rsid w:val="00C50624"/>
    <w:rPr>
      <w:sz w:val="18"/>
      <w:szCs w:val="18"/>
    </w:rPr>
  </w:style>
  <w:style w:type="character" w:customStyle="1" w:styleId="font41">
    <w:name w:val="font41"/>
    <w:basedOn w:val="DefaultParagraphFont"/>
    <w:uiPriority w:val="99"/>
    <w:rsid w:val="00C50624"/>
    <w:rPr>
      <w:rFonts w:ascii="宋体" w:eastAsia="宋体" w:hAnsi="宋体" w:cs="宋体"/>
      <w:color w:val="000000"/>
      <w:sz w:val="24"/>
      <w:szCs w:val="24"/>
      <w:u w:val="none"/>
    </w:rPr>
  </w:style>
  <w:style w:type="character" w:customStyle="1" w:styleId="font21">
    <w:name w:val="font21"/>
    <w:basedOn w:val="DefaultParagraphFont"/>
    <w:uiPriority w:val="99"/>
    <w:rsid w:val="00C50624"/>
    <w:rPr>
      <w:rFonts w:ascii="宋体" w:eastAsia="宋体" w:hAnsi="宋体" w:cs="宋体"/>
      <w:color w:val="000000"/>
      <w:sz w:val="22"/>
      <w:szCs w:val="22"/>
      <w:u w:val="none"/>
    </w:rPr>
  </w:style>
  <w:style w:type="character" w:customStyle="1" w:styleId="HeaderChar">
    <w:name w:val="Header Char"/>
    <w:link w:val="Header"/>
    <w:uiPriority w:val="99"/>
    <w:locked/>
    <w:rsid w:val="00C50624"/>
    <w:rPr>
      <w:sz w:val="18"/>
      <w:szCs w:val="18"/>
    </w:rPr>
  </w:style>
  <w:style w:type="character" w:customStyle="1" w:styleId="font51">
    <w:name w:val="font51"/>
    <w:basedOn w:val="DefaultParagraphFont"/>
    <w:uiPriority w:val="99"/>
    <w:rsid w:val="00C50624"/>
    <w:rPr>
      <w:rFonts w:ascii="宋体" w:eastAsia="宋体" w:hAnsi="宋体" w:cs="宋体"/>
      <w:color w:val="000000"/>
      <w:sz w:val="24"/>
      <w:szCs w:val="24"/>
      <w:u w:val="none"/>
    </w:rPr>
  </w:style>
  <w:style w:type="character" w:customStyle="1" w:styleId="FooterChar">
    <w:name w:val="Footer Char"/>
    <w:link w:val="Footer"/>
    <w:uiPriority w:val="99"/>
    <w:locked/>
    <w:rsid w:val="00C50624"/>
    <w:rPr>
      <w:sz w:val="18"/>
      <w:szCs w:val="18"/>
    </w:rPr>
  </w:style>
  <w:style w:type="paragraph" w:styleId="FootnoteText">
    <w:name w:val="footnote text"/>
    <w:basedOn w:val="Normal"/>
    <w:link w:val="FootnoteTextChar"/>
    <w:uiPriority w:val="99"/>
    <w:semiHidden/>
    <w:rsid w:val="00C50624"/>
    <w:pPr>
      <w:snapToGrid w:val="0"/>
      <w:jc w:val="left"/>
    </w:pPr>
    <w:rPr>
      <w:sz w:val="18"/>
      <w:szCs w:val="18"/>
    </w:rPr>
  </w:style>
  <w:style w:type="character" w:customStyle="1" w:styleId="FootnoteTextChar">
    <w:name w:val="Footnote Text Char"/>
    <w:basedOn w:val="DefaultParagraphFont"/>
    <w:link w:val="FootnoteText"/>
    <w:uiPriority w:val="99"/>
    <w:locked/>
    <w:rsid w:val="00C50624"/>
    <w:rPr>
      <w:rFonts w:ascii="Times New Roman" w:eastAsia="宋体" w:hAnsi="Times New Roman" w:cs="Times New Roman"/>
      <w:sz w:val="18"/>
      <w:szCs w:val="18"/>
    </w:rPr>
  </w:style>
  <w:style w:type="paragraph" w:styleId="Header">
    <w:name w:val="header"/>
    <w:basedOn w:val="Normal"/>
    <w:link w:val="HeaderChar2"/>
    <w:uiPriority w:val="99"/>
    <w:rsid w:val="00C50624"/>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1">
    <w:name w:val="Header Char1"/>
    <w:basedOn w:val="DefaultParagraphFont"/>
    <w:link w:val="Header"/>
    <w:uiPriority w:val="99"/>
    <w:semiHidden/>
    <w:rsid w:val="007E0087"/>
    <w:rPr>
      <w:rFonts w:ascii="Times New Roman" w:hAnsi="Times New Roman"/>
      <w:sz w:val="18"/>
      <w:szCs w:val="18"/>
    </w:rPr>
  </w:style>
  <w:style w:type="character" w:customStyle="1" w:styleId="HeaderChar2">
    <w:name w:val="Header Char2"/>
    <w:basedOn w:val="DefaultParagraphFont"/>
    <w:link w:val="Header"/>
    <w:uiPriority w:val="99"/>
    <w:semiHidden/>
    <w:locked/>
    <w:rsid w:val="00C50624"/>
    <w:rPr>
      <w:rFonts w:ascii="Times New Roman" w:eastAsia="宋体" w:hAnsi="Times New Roman" w:cs="Times New Roman"/>
      <w:sz w:val="18"/>
      <w:szCs w:val="18"/>
    </w:rPr>
  </w:style>
  <w:style w:type="paragraph" w:styleId="Footer">
    <w:name w:val="footer"/>
    <w:basedOn w:val="Normal"/>
    <w:link w:val="FooterChar2"/>
    <w:uiPriority w:val="99"/>
    <w:rsid w:val="00C50624"/>
    <w:pPr>
      <w:tabs>
        <w:tab w:val="center" w:pos="4153"/>
        <w:tab w:val="right" w:pos="8306"/>
      </w:tabs>
      <w:snapToGrid w:val="0"/>
      <w:jc w:val="left"/>
    </w:pPr>
    <w:rPr>
      <w:rFonts w:ascii="Calibri" w:hAnsi="Calibri" w:cs="Calibri"/>
      <w:kern w:val="0"/>
      <w:sz w:val="18"/>
      <w:szCs w:val="18"/>
    </w:rPr>
  </w:style>
  <w:style w:type="character" w:customStyle="1" w:styleId="FooterChar1">
    <w:name w:val="Footer Char1"/>
    <w:basedOn w:val="DefaultParagraphFont"/>
    <w:link w:val="Footer"/>
    <w:uiPriority w:val="99"/>
    <w:semiHidden/>
    <w:rsid w:val="007E0087"/>
    <w:rPr>
      <w:rFonts w:ascii="Times New Roman" w:hAnsi="Times New Roman"/>
      <w:sz w:val="18"/>
      <w:szCs w:val="18"/>
    </w:rPr>
  </w:style>
  <w:style w:type="character" w:customStyle="1" w:styleId="FooterChar2">
    <w:name w:val="Footer Char2"/>
    <w:basedOn w:val="DefaultParagraphFont"/>
    <w:link w:val="Footer"/>
    <w:uiPriority w:val="99"/>
    <w:semiHidden/>
    <w:locked/>
    <w:rsid w:val="00C50624"/>
    <w:rPr>
      <w:rFonts w:ascii="Times New Roman" w:eastAsia="宋体" w:hAnsi="Times New Roman" w:cs="Times New Roman"/>
      <w:sz w:val="18"/>
      <w:szCs w:val="18"/>
    </w:rPr>
  </w:style>
  <w:style w:type="paragraph" w:styleId="BalloonText">
    <w:name w:val="Balloon Text"/>
    <w:basedOn w:val="Normal"/>
    <w:link w:val="BalloonTextChar2"/>
    <w:uiPriority w:val="99"/>
    <w:semiHidden/>
    <w:rsid w:val="00C50624"/>
    <w:rPr>
      <w:rFonts w:ascii="Calibri" w:hAnsi="Calibri" w:cs="Calibri"/>
      <w:sz w:val="18"/>
      <w:szCs w:val="18"/>
    </w:rPr>
  </w:style>
  <w:style w:type="character" w:customStyle="1" w:styleId="BalloonTextChar1">
    <w:name w:val="Balloon Text Char1"/>
    <w:basedOn w:val="DefaultParagraphFont"/>
    <w:link w:val="BalloonText"/>
    <w:uiPriority w:val="99"/>
    <w:semiHidden/>
    <w:rsid w:val="007E0087"/>
    <w:rPr>
      <w:rFonts w:ascii="Times New Roman" w:hAnsi="Times New Roman"/>
      <w:sz w:val="0"/>
      <w:szCs w:val="0"/>
    </w:rPr>
  </w:style>
  <w:style w:type="character" w:customStyle="1" w:styleId="BalloonTextChar2">
    <w:name w:val="Balloon Text Char2"/>
    <w:basedOn w:val="DefaultParagraphFont"/>
    <w:link w:val="BalloonText"/>
    <w:uiPriority w:val="99"/>
    <w:semiHidden/>
    <w:locked/>
    <w:rsid w:val="00C50624"/>
    <w:rPr>
      <w:rFonts w:ascii="Times New Roman" w:eastAsia="宋体" w:hAnsi="Times New Roman" w:cs="Times New Roman"/>
      <w:sz w:val="18"/>
      <w:szCs w:val="18"/>
    </w:rPr>
  </w:style>
  <w:style w:type="paragraph" w:styleId="CommentText">
    <w:name w:val="annotation text"/>
    <w:basedOn w:val="Normal"/>
    <w:link w:val="CommentTextChar"/>
    <w:uiPriority w:val="99"/>
    <w:semiHidden/>
    <w:rsid w:val="00C50624"/>
    <w:pPr>
      <w:jc w:val="left"/>
    </w:pPr>
  </w:style>
  <w:style w:type="character" w:customStyle="1" w:styleId="CommentTextChar">
    <w:name w:val="Comment Text Char"/>
    <w:basedOn w:val="DefaultParagraphFont"/>
    <w:link w:val="CommentText"/>
    <w:uiPriority w:val="99"/>
    <w:locked/>
    <w:rsid w:val="00C50624"/>
    <w:rPr>
      <w:rFonts w:ascii="Times New Roman" w:eastAsia="宋体" w:hAnsi="Times New Roman" w:cs="Times New Roman"/>
    </w:rPr>
  </w:style>
  <w:style w:type="paragraph" w:customStyle="1" w:styleId="1">
    <w:name w:val="标题1"/>
    <w:basedOn w:val="Heading1"/>
    <w:uiPriority w:val="99"/>
    <w:rsid w:val="00C50624"/>
    <w:pPr>
      <w:spacing w:before="0" w:after="0" w:line="240" w:lineRule="auto"/>
      <w:jc w:val="center"/>
    </w:pPr>
    <w:rPr>
      <w:rFonts w:ascii="华文中宋" w:eastAsia="华文中宋" w:hAnsi="华文中宋" w:cs="华文中宋"/>
      <w:sz w:val="36"/>
      <w:szCs w:val="36"/>
    </w:rPr>
  </w:style>
  <w:style w:type="table" w:styleId="TableGrid">
    <w:name w:val="Table Grid"/>
    <w:basedOn w:val="TableNormal"/>
    <w:uiPriority w:val="99"/>
    <w:rsid w:val="00C50624"/>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25</Pages>
  <Words>1315</Words>
  <Characters>7500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lenovo</cp:lastModifiedBy>
  <cp:revision>4</cp:revision>
  <dcterms:created xsi:type="dcterms:W3CDTF">2021-05-25T07:11:00Z</dcterms:created>
  <dcterms:modified xsi:type="dcterms:W3CDTF">2021-05-26T05:05:00Z</dcterms:modified>
</cp:coreProperties>
</file>