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F3246D">
      <w:pPr>
        <w:jc w:val="center"/>
        <w:rPr>
          <w:rFonts w:ascii="黑体" w:eastAsia="黑体" w:hAnsi="黑体" w:cs="黑体"/>
          <w:sz w:val="52"/>
          <w:szCs w:val="52"/>
        </w:rPr>
      </w:pPr>
      <w:r>
        <w:rPr>
          <w:rFonts w:ascii="黑体" w:eastAsia="黑体" w:hAnsi="黑体" w:cs="黑体" w:hint="eastAsia"/>
          <w:sz w:val="52"/>
          <w:szCs w:val="52"/>
        </w:rPr>
        <w:t>市委宣传部</w:t>
      </w:r>
    </w:p>
    <w:p w:rsidR="00117C2F" w:rsidRDefault="00F3246D">
      <w:pPr>
        <w:jc w:val="center"/>
        <w:rPr>
          <w:rFonts w:ascii="黑体" w:eastAsia="黑体" w:hAnsi="黑体" w:cs="黑体"/>
          <w:sz w:val="52"/>
          <w:szCs w:val="52"/>
        </w:rPr>
      </w:pPr>
      <w:r>
        <w:rPr>
          <w:rFonts w:ascii="黑体" w:eastAsia="黑体" w:hAnsi="黑体" w:cs="黑体" w:hint="eastAsia"/>
          <w:sz w:val="52"/>
          <w:szCs w:val="52"/>
        </w:rPr>
        <w:t>2019</w:t>
      </w:r>
      <w:r>
        <w:rPr>
          <w:rFonts w:ascii="黑体" w:eastAsia="黑体" w:hAnsi="黑体" w:cs="黑体" w:hint="eastAsia"/>
          <w:sz w:val="52"/>
          <w:szCs w:val="52"/>
        </w:rPr>
        <w:t>年度部门决算</w:t>
      </w:r>
    </w:p>
    <w:p w:rsidR="00117C2F" w:rsidRDefault="00117C2F">
      <w:pPr>
        <w:jc w:val="center"/>
        <w:rPr>
          <w:rFonts w:ascii="黑体" w:eastAsia="黑体" w:hAnsi="黑体" w:cs="黑体"/>
          <w:sz w:val="52"/>
          <w:szCs w:val="52"/>
        </w:rPr>
      </w:pPr>
    </w:p>
    <w:p w:rsidR="00117C2F" w:rsidRDefault="00117C2F">
      <w:pPr>
        <w:jc w:val="center"/>
        <w:rPr>
          <w:rFonts w:ascii="黑体" w:eastAsia="黑体" w:hAnsi="黑体" w:cs="黑体"/>
          <w:sz w:val="52"/>
          <w:szCs w:val="52"/>
        </w:rPr>
      </w:pPr>
    </w:p>
    <w:p w:rsidR="00117C2F" w:rsidRDefault="00117C2F">
      <w:pPr>
        <w:jc w:val="center"/>
        <w:rPr>
          <w:rFonts w:ascii="黑体" w:eastAsia="黑体" w:hAnsi="黑体" w:cs="黑体"/>
          <w:sz w:val="52"/>
          <w:szCs w:val="52"/>
        </w:rPr>
      </w:pPr>
    </w:p>
    <w:p w:rsidR="00117C2F" w:rsidRDefault="00117C2F">
      <w:pPr>
        <w:jc w:val="center"/>
        <w:rPr>
          <w:rFonts w:ascii="黑体" w:eastAsia="黑体" w:hAnsi="黑体" w:cs="黑体"/>
          <w:sz w:val="52"/>
          <w:szCs w:val="52"/>
        </w:rPr>
      </w:pPr>
    </w:p>
    <w:p w:rsidR="00117C2F" w:rsidRDefault="00117C2F">
      <w:pPr>
        <w:jc w:val="center"/>
        <w:rPr>
          <w:rFonts w:ascii="黑体" w:eastAsia="黑体" w:hAnsi="黑体" w:cs="黑体"/>
          <w:sz w:val="52"/>
          <w:szCs w:val="52"/>
        </w:rPr>
      </w:pPr>
    </w:p>
    <w:p w:rsidR="00117C2F" w:rsidRDefault="00117C2F">
      <w:pPr>
        <w:jc w:val="center"/>
        <w:rPr>
          <w:rFonts w:ascii="黑体" w:eastAsia="黑体" w:hAnsi="黑体" w:cs="黑体"/>
          <w:sz w:val="52"/>
          <w:szCs w:val="52"/>
        </w:rPr>
      </w:pPr>
    </w:p>
    <w:p w:rsidR="00117C2F" w:rsidRDefault="00F3246D">
      <w:pPr>
        <w:jc w:val="center"/>
        <w:rPr>
          <w:rFonts w:ascii="黑体" w:eastAsia="黑体" w:hAnsi="黑体" w:cs="黑体"/>
          <w:sz w:val="32"/>
          <w:szCs w:val="32"/>
        </w:rPr>
        <w:sectPr w:rsidR="00117C2F">
          <w:headerReference w:type="default" r:id="rId9"/>
          <w:footerReference w:type="even" r:id="rId10"/>
          <w:footerReference w:type="default" r:id="rId11"/>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二〇二〇年九月</w:t>
      </w:r>
    </w:p>
    <w:p w:rsidR="00117C2F" w:rsidRDefault="00F3246D">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117C2F" w:rsidRDefault="00F3246D">
      <w:pPr>
        <w:jc w:val="left"/>
        <w:rPr>
          <w:rFonts w:ascii="黑体" w:eastAsia="黑体" w:hAnsi="黑体" w:cs="黑体"/>
          <w:sz w:val="32"/>
          <w:szCs w:val="32"/>
        </w:rPr>
      </w:pPr>
      <w:r>
        <w:rPr>
          <w:rFonts w:ascii="黑体" w:eastAsia="黑体" w:hAnsi="黑体" w:cs="黑体" w:hint="eastAsia"/>
          <w:sz w:val="32"/>
          <w:szCs w:val="32"/>
        </w:rPr>
        <w:t>第一部分　　市委宣传部概况</w:t>
      </w:r>
    </w:p>
    <w:p w:rsidR="00117C2F" w:rsidRDefault="00F3246D">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117C2F" w:rsidRDefault="00F3246D">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117C2F" w:rsidRDefault="00F3246D">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2019</w:t>
      </w:r>
      <w:r>
        <w:rPr>
          <w:rFonts w:ascii="黑体" w:eastAsia="黑体" w:hAnsi="黑体" w:cs="黑体" w:hint="eastAsia"/>
          <w:sz w:val="32"/>
          <w:szCs w:val="32"/>
        </w:rPr>
        <w:t>年度部门决算表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二、收入决算表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三、支出决算表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117C2F" w:rsidRDefault="00F3246D">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hint="eastAsia"/>
          <w:sz w:val="32"/>
          <w:szCs w:val="32"/>
        </w:rPr>
        <w:t>2019</w:t>
      </w:r>
      <w:r>
        <w:rPr>
          <w:rFonts w:ascii="黑体" w:eastAsia="黑体" w:hAnsi="黑体" w:cs="黑体" w:hint="eastAsia"/>
          <w:sz w:val="32"/>
          <w:szCs w:val="32"/>
        </w:rPr>
        <w:t>年度部门决算情况说明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117C2F" w:rsidRDefault="00F3246D">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117C2F" w:rsidRDefault="00F3246D">
      <w:pPr>
        <w:jc w:val="left"/>
        <w:rPr>
          <w:rFonts w:ascii="黑体" w:eastAsia="黑体" w:hAnsi="黑体" w:cs="黑体"/>
          <w:sz w:val="32"/>
          <w:szCs w:val="32"/>
        </w:rPr>
        <w:sectPr w:rsidR="00117C2F">
          <w:footerReference w:type="default" r:id="rId1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F3246D">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117C2F" w:rsidRDefault="00F3246D">
      <w:pPr>
        <w:widowControl/>
        <w:jc w:val="center"/>
        <w:rPr>
          <w:rFonts w:ascii="黑体" w:eastAsia="黑体" w:hAnsi="宋体" w:cs="宋体"/>
          <w:kern w:val="0"/>
          <w:sz w:val="28"/>
          <w:szCs w:val="28"/>
        </w:rPr>
      </w:pPr>
      <w:r>
        <w:rPr>
          <w:rFonts w:ascii="黑体" w:eastAsia="黑体" w:hAnsi="黑体" w:cs="黑体" w:hint="eastAsia"/>
          <w:sz w:val="48"/>
          <w:szCs w:val="48"/>
        </w:rPr>
        <w:t>市委宣传部概况</w:t>
      </w: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sectPr w:rsidR="00117C2F">
          <w:pgSz w:w="11906" w:h="16838"/>
          <w:pgMar w:top="1440" w:right="1800" w:bottom="1440" w:left="1800" w:header="720" w:footer="720" w:gutter="0"/>
          <w:pgNumType w:fmt="numberInDash"/>
          <w:cols w:space="720"/>
          <w:docGrid w:type="lines" w:linePitch="312"/>
        </w:sectPr>
      </w:pPr>
    </w:p>
    <w:p w:rsidR="00117C2F" w:rsidRDefault="00F3246D">
      <w:pPr>
        <w:ind w:firstLineChars="200" w:firstLine="643"/>
        <w:rPr>
          <w:rFonts w:ascii="黑体" w:eastAsia="黑体"/>
          <w:sz w:val="32"/>
          <w:szCs w:val="32"/>
        </w:rPr>
      </w:pPr>
      <w:r>
        <w:rPr>
          <w:rFonts w:ascii="黑体" w:eastAsia="黑体" w:hAnsi="黑体" w:hint="eastAsia"/>
          <w:b/>
          <w:sz w:val="32"/>
          <w:szCs w:val="32"/>
        </w:rPr>
        <w:lastRenderedPageBreak/>
        <w:t>一、部门职责</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一是贯彻落实中央、省委宣传思想文化工作重大方针政策，按照市委统一部署，协调宣传思想文化系统各部门之间的工作。</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二是统筹指导全市的理论研究、理论学习和理论宣传工作；统筹指导全市哲学社会科学的规划发展。</w:t>
      </w:r>
    </w:p>
    <w:p w:rsidR="00117C2F" w:rsidRDefault="00F3246D">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三是组织全市重大先进典型的选树、宣传、学习，配合市委组织部做好党员教育工作，指导协调编写党员教育教材。</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四是拟定全市新闻出版业的管理政策并督促落实，管理新闻出版行政事务，组织协调有关行政审批工作。统筹规划和指导协调新闻出版事业，产业发展，管理出版物进出口等。负责全市新闻记者证的管理工作等。组织指导协调全市“扫黄打非”工作。</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五是统筹指导协调推动精神文化产品的创作和生产，协调组织优秀传统文化传承发展有关工作，指导协调推动群众文化建设。</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六是负责管理电影行政事务，指导监管电影制片、发行、放映工作，组织对电影内容进行审查，指导协调重大电影活动。</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七是统筹协调全市对外宣传工作，指导协调有关部门拟订对外宣传事业发展规划，指导对外文化交流工作。</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八是统筹协调组织开展新闻发布工作，承担市委新闻发</w:t>
      </w:r>
      <w:r>
        <w:rPr>
          <w:rFonts w:ascii="仿宋_GB2312" w:eastAsia="仿宋_GB2312" w:hint="eastAsia"/>
          <w:sz w:val="32"/>
          <w:szCs w:val="32"/>
        </w:rPr>
        <w:lastRenderedPageBreak/>
        <w:t>布有关组织协调工作，负责市政府新闻发布组织实施工作，指导协调市政府各部门和各县（市、区）的新闻发布工作，推动新闻发言人制度建设。</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九是贯彻落实党中央</w:t>
      </w:r>
      <w:r>
        <w:rPr>
          <w:rFonts w:ascii="仿宋_GB2312" w:eastAsia="仿宋_GB2312" w:hint="eastAsia"/>
          <w:sz w:val="32"/>
          <w:szCs w:val="32"/>
        </w:rPr>
        <w:t>关于加强社会主义精神文明建设的方针政策和省委、市委有关部署，在新乡市精神文明建设指导委员会指导下，统筹协调、指导全市精神文明建设工作，组织开展全市群众性精神文明创建活动，评选表彰精神文明建设先进典型，总结推广先进经验。</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十是受市委委托，协同市委组织部管理市直宣传文化单位的领导干部，对各县（市、区）党委宣传部长的任免提出意见。负责组织开展宣传思想文化系统人才工作和干部教育培训。</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十一是完成市委交办的其他任务。</w:t>
      </w:r>
    </w:p>
    <w:p w:rsidR="00117C2F" w:rsidRDefault="00F3246D">
      <w:pPr>
        <w:spacing w:line="580" w:lineRule="exact"/>
        <w:ind w:firstLineChars="200" w:firstLine="640"/>
        <w:rPr>
          <w:rFonts w:ascii="黑体" w:eastAsia="黑体" w:hAnsi="黑体"/>
          <w:sz w:val="32"/>
          <w:szCs w:val="32"/>
        </w:rPr>
      </w:pPr>
      <w:r>
        <w:rPr>
          <w:rFonts w:ascii="黑体" w:eastAsia="黑体" w:hAnsi="黑体" w:hint="eastAsia"/>
          <w:sz w:val="32"/>
          <w:szCs w:val="32"/>
        </w:rPr>
        <w:t>二、机构设置</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市委宣传部为正处级单位，内设</w:t>
      </w:r>
      <w:r>
        <w:rPr>
          <w:rFonts w:ascii="仿宋_GB2312" w:eastAsia="仿宋_GB2312" w:hint="eastAsia"/>
          <w:sz w:val="32"/>
          <w:szCs w:val="32"/>
        </w:rPr>
        <w:t>17</w:t>
      </w:r>
      <w:r>
        <w:rPr>
          <w:rFonts w:ascii="仿宋_GB2312" w:eastAsia="仿宋_GB2312" w:hint="eastAsia"/>
          <w:sz w:val="32"/>
          <w:szCs w:val="32"/>
        </w:rPr>
        <w:t>个职能科（室、办），分别是机关党总支、办公室、政策法规</w:t>
      </w:r>
      <w:r>
        <w:rPr>
          <w:rFonts w:ascii="仿宋_GB2312" w:eastAsia="仿宋_GB2312" w:hint="eastAsia"/>
          <w:sz w:val="32"/>
          <w:szCs w:val="32"/>
        </w:rPr>
        <w:t>研究室、理论科、新闻科、文艺科、文改办、组织干部科等。</w:t>
      </w:r>
    </w:p>
    <w:p w:rsidR="00117C2F" w:rsidRDefault="00F3246D">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年度，机构改革后将新闻出版局划转至市委宣传部管理，其经费随之转入我单位，并于本次决算汇总公开。</w:t>
      </w:r>
    </w:p>
    <w:p w:rsidR="00117C2F" w:rsidRDefault="00F3246D">
      <w:pPr>
        <w:widowControl/>
        <w:ind w:firstLineChars="200" w:firstLine="640"/>
        <w:jc w:val="left"/>
        <w:rPr>
          <w:rFonts w:ascii="仿宋_GB2312" w:eastAsia="仿宋_GB2312" w:hAnsi="仿宋_GB2312" w:cs="仿宋_GB2312"/>
          <w:kern w:val="0"/>
          <w:sz w:val="32"/>
          <w:szCs w:val="32"/>
        </w:rPr>
      </w:pPr>
      <w:r>
        <w:rPr>
          <w:rFonts w:ascii="仿宋_GB2312" w:eastAsia="仿宋_GB2312" w:hint="eastAsia"/>
          <w:sz w:val="32"/>
          <w:szCs w:val="32"/>
        </w:rPr>
        <w:t>从决算构成看，</w:t>
      </w:r>
      <w:r>
        <w:rPr>
          <w:rFonts w:ascii="仿宋_GB2312" w:eastAsia="仿宋_GB2312" w:hAnsi="仿宋_GB2312" w:cs="仿宋_GB2312" w:hint="eastAsia"/>
          <w:kern w:val="0"/>
          <w:sz w:val="32"/>
          <w:szCs w:val="32"/>
        </w:rPr>
        <w:t>纳入本部门</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年度部门决算编制范围的单位共</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个，具体是：</w:t>
      </w:r>
    </w:p>
    <w:p w:rsidR="00117C2F" w:rsidRDefault="00F3246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w:t>
      </w:r>
      <w:r>
        <w:rPr>
          <w:rFonts w:ascii="仿宋_GB2312" w:eastAsia="仿宋_GB2312" w:hAnsi="仿宋_GB2312" w:cs="仿宋_GB2312" w:hint="eastAsia"/>
          <w:kern w:val="0"/>
          <w:sz w:val="32"/>
          <w:szCs w:val="32"/>
        </w:rPr>
        <w:t>市委宣传部本级（</w:t>
      </w:r>
      <w:r>
        <w:rPr>
          <w:rFonts w:ascii="仿宋_GB2312" w:eastAsia="仿宋_GB2312" w:hint="eastAsia"/>
          <w:sz w:val="32"/>
          <w:szCs w:val="32"/>
        </w:rPr>
        <w:t>含“双创”指挥部工作经费和省主流媒体合作经费</w:t>
      </w:r>
      <w:r>
        <w:rPr>
          <w:rFonts w:ascii="仿宋_GB2312" w:eastAsia="仿宋_GB2312" w:hAnsi="仿宋_GB2312" w:cs="仿宋_GB2312" w:hint="eastAsia"/>
          <w:kern w:val="0"/>
          <w:sz w:val="32"/>
          <w:szCs w:val="32"/>
        </w:rPr>
        <w:t>）。</w:t>
      </w:r>
    </w:p>
    <w:p w:rsidR="00117C2F" w:rsidRDefault="00117C2F">
      <w:pPr>
        <w:widowControl/>
        <w:jc w:val="left"/>
        <w:rPr>
          <w:rFonts w:ascii="黑体" w:eastAsia="黑体" w:hAnsi="宋体" w:cs="宋体"/>
          <w:kern w:val="0"/>
          <w:sz w:val="28"/>
          <w:szCs w:val="28"/>
        </w:rPr>
        <w:sectPr w:rsidR="00117C2F">
          <w:pgSz w:w="11906" w:h="16838"/>
          <w:pgMar w:top="1440" w:right="1800" w:bottom="1440" w:left="1800" w:header="720" w:footer="720" w:gutter="0"/>
          <w:pgNumType w:fmt="numberInDash"/>
          <w:cols w:space="720"/>
          <w:docGrid w:type="lines" w:linePitch="312"/>
        </w:sect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F3246D">
      <w:pPr>
        <w:jc w:val="center"/>
        <w:rPr>
          <w:rFonts w:ascii="黑体" w:eastAsia="黑体" w:hAnsi="黑体" w:cs="黑体"/>
          <w:sz w:val="48"/>
          <w:szCs w:val="48"/>
        </w:rPr>
      </w:pPr>
      <w:r>
        <w:rPr>
          <w:rFonts w:ascii="黑体" w:eastAsia="黑体" w:hAnsi="黑体" w:cs="黑体" w:hint="eastAsia"/>
          <w:sz w:val="48"/>
          <w:szCs w:val="48"/>
        </w:rPr>
        <w:t>第二部分</w:t>
      </w:r>
    </w:p>
    <w:p w:rsidR="00117C2F" w:rsidRDefault="00F3246D">
      <w:pPr>
        <w:jc w:val="center"/>
        <w:rPr>
          <w:rFonts w:ascii="黑体" w:eastAsia="黑体" w:hAnsi="黑体" w:cs="黑体"/>
          <w:sz w:val="48"/>
          <w:szCs w:val="48"/>
        </w:rPr>
      </w:pPr>
      <w:r>
        <w:rPr>
          <w:rFonts w:ascii="黑体" w:eastAsia="黑体" w:hAnsi="黑体" w:cs="黑体" w:hint="eastAsia"/>
          <w:sz w:val="48"/>
          <w:szCs w:val="48"/>
        </w:rPr>
        <w:t>2019</w:t>
      </w:r>
      <w:r>
        <w:rPr>
          <w:rFonts w:ascii="黑体" w:eastAsia="黑体" w:hAnsi="黑体" w:cs="黑体" w:hint="eastAsia"/>
          <w:sz w:val="48"/>
          <w:szCs w:val="48"/>
        </w:rPr>
        <w:t>年度部门决算表</w:t>
      </w: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pPr>
    </w:p>
    <w:p w:rsidR="00117C2F" w:rsidRDefault="00117C2F">
      <w:pPr>
        <w:widowControl/>
        <w:jc w:val="left"/>
        <w:rPr>
          <w:rFonts w:ascii="黑体" w:eastAsia="黑体" w:hAnsi="宋体" w:cs="宋体"/>
          <w:kern w:val="0"/>
          <w:sz w:val="28"/>
          <w:szCs w:val="28"/>
        </w:rPr>
        <w:sectPr w:rsidR="00117C2F">
          <w:pgSz w:w="11906" w:h="16838"/>
          <w:pgMar w:top="1440" w:right="1800" w:bottom="1440" w:left="1800" w:header="720" w:footer="720" w:gutter="0"/>
          <w:pgNumType w:fmt="numberInDash"/>
          <w:cols w:space="720"/>
          <w:docGrid w:type="lines" w:linePitch="312"/>
        </w:sectPr>
      </w:pPr>
    </w:p>
    <w:tbl>
      <w:tblPr>
        <w:tblW w:w="14757" w:type="dxa"/>
        <w:tblInd w:w="93" w:type="dxa"/>
        <w:tblLook w:val="04A0"/>
      </w:tblPr>
      <w:tblGrid>
        <w:gridCol w:w="340"/>
        <w:gridCol w:w="340"/>
        <w:gridCol w:w="340"/>
        <w:gridCol w:w="2560"/>
        <w:gridCol w:w="863"/>
        <w:gridCol w:w="517"/>
        <w:gridCol w:w="1800"/>
        <w:gridCol w:w="271"/>
        <w:gridCol w:w="1529"/>
        <w:gridCol w:w="1236"/>
        <w:gridCol w:w="1418"/>
        <w:gridCol w:w="81"/>
        <w:gridCol w:w="787"/>
        <w:gridCol w:w="407"/>
        <w:gridCol w:w="1314"/>
        <w:gridCol w:w="770"/>
        <w:gridCol w:w="184"/>
      </w:tblGrid>
      <w:tr w:rsidR="00117C2F">
        <w:trPr>
          <w:gridAfter w:val="1"/>
          <w:wAfter w:w="184" w:type="dxa"/>
          <w:trHeight w:val="328"/>
        </w:trPr>
        <w:tc>
          <w:tcPr>
            <w:tcW w:w="14573" w:type="dxa"/>
            <w:gridSpan w:val="16"/>
            <w:tcBorders>
              <w:top w:val="nil"/>
              <w:left w:val="nil"/>
              <w:bottom w:val="nil"/>
              <w:right w:val="nil"/>
            </w:tcBorders>
            <w:shd w:val="clear" w:color="auto" w:fill="auto"/>
            <w:noWrap/>
            <w:vAlign w:val="bottom"/>
          </w:tcPr>
          <w:p w:rsidR="00117C2F" w:rsidRDefault="00F3246D">
            <w:pPr>
              <w:widowControl/>
              <w:spacing w:line="280" w:lineRule="exact"/>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收入支出决算总表</w:t>
            </w:r>
          </w:p>
        </w:tc>
      </w:tr>
      <w:tr w:rsidR="00117C2F">
        <w:trPr>
          <w:gridAfter w:val="1"/>
          <w:wAfter w:w="184" w:type="dxa"/>
          <w:trHeight w:val="214"/>
        </w:trPr>
        <w:tc>
          <w:tcPr>
            <w:tcW w:w="3580" w:type="dxa"/>
            <w:gridSpan w:val="4"/>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863" w:type="dxa"/>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2588" w:type="dxa"/>
            <w:gridSpan w:val="3"/>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4264" w:type="dxa"/>
            <w:gridSpan w:val="4"/>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787" w:type="dxa"/>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2491" w:type="dxa"/>
            <w:gridSpan w:val="3"/>
            <w:tcBorders>
              <w:top w:val="nil"/>
              <w:left w:val="nil"/>
              <w:bottom w:val="nil"/>
              <w:right w:val="nil"/>
            </w:tcBorders>
            <w:shd w:val="clear" w:color="auto" w:fill="auto"/>
            <w:noWrap/>
            <w:vAlign w:val="bottom"/>
          </w:tcPr>
          <w:p w:rsidR="00117C2F" w:rsidRDefault="00F3246D">
            <w:pPr>
              <w:widowControl/>
              <w:spacing w:line="280" w:lineRule="exact"/>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01</w:t>
            </w:r>
            <w:r>
              <w:rPr>
                <w:rFonts w:ascii="宋体" w:hAnsi="宋体" w:cs="Arial" w:hint="eastAsia"/>
                <w:color w:val="000000"/>
                <w:kern w:val="0"/>
                <w:sz w:val="20"/>
                <w:szCs w:val="20"/>
              </w:rPr>
              <w:t>表</w:t>
            </w:r>
          </w:p>
        </w:tc>
      </w:tr>
      <w:tr w:rsidR="00117C2F">
        <w:trPr>
          <w:gridAfter w:val="1"/>
          <w:wAfter w:w="184" w:type="dxa"/>
          <w:trHeight w:val="214"/>
        </w:trPr>
        <w:tc>
          <w:tcPr>
            <w:tcW w:w="3580" w:type="dxa"/>
            <w:gridSpan w:val="4"/>
            <w:tcBorders>
              <w:top w:val="nil"/>
              <w:left w:val="nil"/>
              <w:bottom w:val="nil"/>
              <w:right w:val="nil"/>
            </w:tcBorders>
            <w:shd w:val="clear" w:color="auto" w:fill="auto"/>
            <w:noWrap/>
            <w:vAlign w:val="bottom"/>
          </w:tcPr>
          <w:p w:rsidR="00117C2F" w:rsidRDefault="00F3246D">
            <w:pPr>
              <w:widowControl/>
              <w:spacing w:line="280" w:lineRule="exact"/>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863" w:type="dxa"/>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2588" w:type="dxa"/>
            <w:gridSpan w:val="3"/>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4264" w:type="dxa"/>
            <w:gridSpan w:val="4"/>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787" w:type="dxa"/>
            <w:tcBorders>
              <w:top w:val="nil"/>
              <w:left w:val="nil"/>
              <w:bottom w:val="nil"/>
              <w:right w:val="nil"/>
            </w:tcBorders>
            <w:shd w:val="clear" w:color="auto" w:fill="auto"/>
            <w:noWrap/>
            <w:vAlign w:val="bottom"/>
          </w:tcPr>
          <w:p w:rsidR="00117C2F" w:rsidRDefault="00117C2F">
            <w:pPr>
              <w:widowControl/>
              <w:spacing w:line="280" w:lineRule="exact"/>
              <w:jc w:val="left"/>
              <w:rPr>
                <w:rFonts w:ascii="Arial" w:hAnsi="Arial" w:cs="Arial"/>
                <w:color w:val="000000"/>
                <w:kern w:val="0"/>
                <w:sz w:val="20"/>
                <w:szCs w:val="20"/>
              </w:rPr>
            </w:pPr>
          </w:p>
        </w:tc>
        <w:tc>
          <w:tcPr>
            <w:tcW w:w="2491" w:type="dxa"/>
            <w:gridSpan w:val="3"/>
            <w:tcBorders>
              <w:top w:val="nil"/>
              <w:left w:val="nil"/>
              <w:bottom w:val="nil"/>
              <w:right w:val="nil"/>
            </w:tcBorders>
            <w:shd w:val="clear" w:color="auto" w:fill="auto"/>
            <w:noWrap/>
            <w:vAlign w:val="bottom"/>
          </w:tcPr>
          <w:p w:rsidR="00117C2F" w:rsidRDefault="00F3246D">
            <w:pPr>
              <w:widowControl/>
              <w:spacing w:line="280" w:lineRule="exact"/>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gridAfter w:val="1"/>
          <w:wAfter w:w="184" w:type="dxa"/>
          <w:trHeight w:val="259"/>
        </w:trPr>
        <w:tc>
          <w:tcPr>
            <w:tcW w:w="7031" w:type="dxa"/>
            <w:gridSpan w:val="8"/>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收入</w:t>
            </w:r>
          </w:p>
        </w:tc>
        <w:tc>
          <w:tcPr>
            <w:tcW w:w="7542" w:type="dxa"/>
            <w:gridSpan w:val="8"/>
            <w:tcBorders>
              <w:top w:val="single" w:sz="4" w:space="0" w:color="000000"/>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支出</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项目</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行次</w:t>
            </w:r>
          </w:p>
        </w:tc>
        <w:tc>
          <w:tcPr>
            <w:tcW w:w="2588" w:type="dxa"/>
            <w:gridSpan w:val="3"/>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金额</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项目</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行次</w:t>
            </w:r>
          </w:p>
        </w:tc>
        <w:tc>
          <w:tcPr>
            <w:tcW w:w="2491" w:type="dxa"/>
            <w:gridSpan w:val="3"/>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金额</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栏次</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 xml:space="preserve">　</w:t>
            </w:r>
          </w:p>
        </w:tc>
        <w:tc>
          <w:tcPr>
            <w:tcW w:w="2588" w:type="dxa"/>
            <w:gridSpan w:val="3"/>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栏次</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 xml:space="preserve">　</w:t>
            </w:r>
          </w:p>
        </w:tc>
        <w:tc>
          <w:tcPr>
            <w:tcW w:w="2491" w:type="dxa"/>
            <w:gridSpan w:val="3"/>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一、一般公共预算财政拨款收入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1,779.88</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29</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1,490.66</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二、政府性基金预算财政拨款收入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二、外交支出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30</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三、上级补助收入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三、国防支出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31</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四、事业收入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四、公共安全支出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32</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20.93</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五、经营收入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五、教育支出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33</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22.81</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六、附属单位上缴收入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6</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六、科学技术支出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34</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七、其他收入</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7</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35</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43.29</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8</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36</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127.56</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9</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九、卫生健康支出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37</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42.63</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10</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十、节能环保支出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38</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11</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39</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20.00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12</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十二、农林水支出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40</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3.00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13</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41</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14</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十四、资源勘探信息等支出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42</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15</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43</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16</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十六、金融支出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44</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17</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45</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18</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46</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19</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47</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20</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48</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21</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二十一、灾害防治及应急管理支出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49</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22</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二十二、其他支出</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50</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23</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51</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24</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1,779.88</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52</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1,770.88</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用事业基金弥补收支差额</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25</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结余分配</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53</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0.00</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年初结转和结余</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26</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0.02</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年末结转和结余</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54</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9.02</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27</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 xml:space="preserve">　</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55</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t xml:space="preserve">　</w:t>
            </w:r>
          </w:p>
        </w:tc>
      </w:tr>
      <w:tr w:rsidR="00117C2F">
        <w:trPr>
          <w:gridAfter w:val="1"/>
          <w:wAfter w:w="184" w:type="dxa"/>
          <w:trHeight w:val="259"/>
        </w:trPr>
        <w:tc>
          <w:tcPr>
            <w:tcW w:w="358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863"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28</w:t>
            </w:r>
          </w:p>
        </w:tc>
        <w:tc>
          <w:tcPr>
            <w:tcW w:w="2588"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1,779.89</w:t>
            </w:r>
          </w:p>
        </w:tc>
        <w:tc>
          <w:tcPr>
            <w:tcW w:w="4264" w:type="dxa"/>
            <w:gridSpan w:val="4"/>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78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spacing w:line="280" w:lineRule="exact"/>
              <w:jc w:val="center"/>
              <w:rPr>
                <w:rFonts w:ascii="宋体" w:hAnsi="宋体" w:cs="Arial"/>
                <w:color w:val="000000"/>
                <w:kern w:val="0"/>
                <w:sz w:val="22"/>
              </w:rPr>
            </w:pPr>
            <w:r>
              <w:rPr>
                <w:rFonts w:ascii="宋体" w:hAnsi="宋体" w:cs="Arial" w:hint="eastAsia"/>
                <w:color w:val="000000"/>
                <w:kern w:val="0"/>
                <w:sz w:val="22"/>
              </w:rPr>
              <w:t>56</w:t>
            </w:r>
          </w:p>
        </w:tc>
        <w:tc>
          <w:tcPr>
            <w:tcW w:w="2491"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spacing w:line="280" w:lineRule="exact"/>
              <w:jc w:val="right"/>
              <w:rPr>
                <w:rFonts w:ascii="宋体" w:hAnsi="宋体" w:cs="Arial"/>
                <w:color w:val="000000"/>
                <w:kern w:val="0"/>
                <w:sz w:val="22"/>
              </w:rPr>
            </w:pPr>
            <w:r>
              <w:rPr>
                <w:rFonts w:ascii="宋体" w:hAnsi="宋体" w:cs="Arial" w:hint="eastAsia"/>
                <w:color w:val="000000"/>
                <w:kern w:val="0"/>
                <w:sz w:val="22"/>
              </w:rPr>
              <w:t>1,779.89</w:t>
            </w:r>
          </w:p>
        </w:tc>
      </w:tr>
      <w:tr w:rsidR="00117C2F">
        <w:trPr>
          <w:gridAfter w:val="1"/>
          <w:wAfter w:w="184" w:type="dxa"/>
          <w:trHeight w:val="259"/>
        </w:trPr>
        <w:tc>
          <w:tcPr>
            <w:tcW w:w="14573" w:type="dxa"/>
            <w:gridSpan w:val="16"/>
            <w:tcBorders>
              <w:top w:val="nil"/>
              <w:left w:val="nil"/>
              <w:bottom w:val="nil"/>
              <w:right w:val="nil"/>
            </w:tcBorders>
            <w:shd w:val="clear" w:color="auto" w:fill="auto"/>
            <w:noWrap/>
            <w:vAlign w:val="center"/>
          </w:tcPr>
          <w:p w:rsidR="00117C2F" w:rsidRDefault="00F3246D">
            <w:pPr>
              <w:widowControl/>
              <w:spacing w:line="280" w:lineRule="exact"/>
              <w:jc w:val="left"/>
              <w:rPr>
                <w:rFonts w:ascii="宋体" w:hAnsi="宋体" w:cs="Arial"/>
                <w:color w:val="000000"/>
                <w:kern w:val="0"/>
                <w:sz w:val="22"/>
              </w:rPr>
            </w:pPr>
            <w:r>
              <w:rPr>
                <w:rFonts w:ascii="宋体" w:hAnsi="宋体" w:cs="Arial" w:hint="eastAsia"/>
                <w:color w:val="000000"/>
                <w:kern w:val="0"/>
                <w:sz w:val="22"/>
              </w:rPr>
              <w:lastRenderedPageBreak/>
              <w:t>注：本表反映部门本年度的总收支和年末结转结余情况。本表金额转换为万元时，因四舍五入可能存在尾差。</w:t>
            </w:r>
          </w:p>
        </w:tc>
      </w:tr>
      <w:tr w:rsidR="00117C2F">
        <w:trPr>
          <w:trHeight w:val="390"/>
        </w:trPr>
        <w:tc>
          <w:tcPr>
            <w:tcW w:w="14757" w:type="dxa"/>
            <w:gridSpan w:val="17"/>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t>收入决算表</w:t>
            </w:r>
          </w:p>
        </w:tc>
      </w:tr>
      <w:tr w:rsidR="00117C2F">
        <w:trPr>
          <w:trHeight w:val="255"/>
        </w:trPr>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940" w:type="dxa"/>
            <w:gridSpan w:val="3"/>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00"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3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75" w:type="dxa"/>
            <w:gridSpan w:val="3"/>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268" w:type="dxa"/>
            <w:gridSpan w:val="3"/>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02</w:t>
            </w:r>
            <w:r>
              <w:rPr>
                <w:rFonts w:ascii="宋体" w:hAnsi="宋体" w:cs="Arial" w:hint="eastAsia"/>
                <w:color w:val="000000"/>
                <w:kern w:val="0"/>
                <w:sz w:val="20"/>
                <w:szCs w:val="20"/>
              </w:rPr>
              <w:t>表</w:t>
            </w:r>
          </w:p>
        </w:tc>
      </w:tr>
      <w:tr w:rsidR="00117C2F">
        <w:trPr>
          <w:trHeight w:val="255"/>
        </w:trPr>
        <w:tc>
          <w:tcPr>
            <w:tcW w:w="4960" w:type="dxa"/>
            <w:gridSpan w:val="6"/>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180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00"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3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75" w:type="dxa"/>
            <w:gridSpan w:val="3"/>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268" w:type="dxa"/>
            <w:gridSpan w:val="3"/>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4960" w:type="dxa"/>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800"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1236"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1418"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1275" w:type="dxa"/>
            <w:gridSpan w:val="3"/>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1314"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954"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117C2F">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940" w:type="dxa"/>
            <w:gridSpan w:val="3"/>
            <w:vMerge w:val="restart"/>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36"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5" w:type="dxa"/>
            <w:gridSpan w:val="3"/>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14"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954"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gridSpan w:val="3"/>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36"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5" w:type="dxa"/>
            <w:gridSpan w:val="3"/>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14"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954"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gridSpan w:val="3"/>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36"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5" w:type="dxa"/>
            <w:gridSpan w:val="3"/>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14"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954" w:type="dxa"/>
            <w:gridSpan w:val="2"/>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4960" w:type="dxa"/>
            <w:gridSpan w:val="6"/>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800" w:type="dxa"/>
            <w:gridSpan w:val="2"/>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36"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418"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c>
          <w:tcPr>
            <w:tcW w:w="1275" w:type="dxa"/>
            <w:gridSpan w:val="3"/>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w:t>
            </w:r>
          </w:p>
        </w:tc>
        <w:tc>
          <w:tcPr>
            <w:tcW w:w="1314"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6</w:t>
            </w:r>
          </w:p>
        </w:tc>
        <w:tc>
          <w:tcPr>
            <w:tcW w:w="954" w:type="dxa"/>
            <w:gridSpan w:val="2"/>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7</w:t>
            </w:r>
          </w:p>
        </w:tc>
      </w:tr>
      <w:tr w:rsidR="00117C2F">
        <w:trPr>
          <w:trHeight w:val="308"/>
        </w:trPr>
        <w:tc>
          <w:tcPr>
            <w:tcW w:w="4960" w:type="dxa"/>
            <w:gridSpan w:val="6"/>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1,779.88</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1,779.88</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宣传事务</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行政运行</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其他宣传事务支出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教育支出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进修及培训</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2050803</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培训支出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52.29</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52.29</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文化和旅游市场管理</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其他文化和旅游支出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20706</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新闻出版电影</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2070699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其他新闻出版电影支出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行政事业单位离退休</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归口管理的行政单位离退休</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lastRenderedPageBreak/>
              <w:t>20899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2089901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行政单位医疗</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2129901</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农林水支出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农业</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2130199</w:t>
            </w:r>
          </w:p>
        </w:tc>
        <w:tc>
          <w:tcPr>
            <w:tcW w:w="3940" w:type="dxa"/>
            <w:gridSpan w:val="3"/>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其他农业支出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800"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23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275" w:type="dxa"/>
            <w:gridSpan w:val="3"/>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314"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54"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4757" w:type="dxa"/>
            <w:gridSpan w:val="17"/>
            <w:tcBorders>
              <w:top w:val="nil"/>
              <w:left w:val="nil"/>
              <w:bottom w:val="nil"/>
              <w:right w:val="nil"/>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注：本表反映部门本年度取得的各项收入情况。本表金额转换为万元时，因四舍五入可能存在尾差。</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tbl>
      <w:tblPr>
        <w:tblW w:w="14616" w:type="dxa"/>
        <w:tblInd w:w="93" w:type="dxa"/>
        <w:tblLook w:val="04A0"/>
      </w:tblPr>
      <w:tblGrid>
        <w:gridCol w:w="340"/>
        <w:gridCol w:w="340"/>
        <w:gridCol w:w="340"/>
        <w:gridCol w:w="3940"/>
        <w:gridCol w:w="1800"/>
        <w:gridCol w:w="1335"/>
        <w:gridCol w:w="1418"/>
        <w:gridCol w:w="1701"/>
        <w:gridCol w:w="1559"/>
        <w:gridCol w:w="1843"/>
      </w:tblGrid>
      <w:tr w:rsidR="00117C2F">
        <w:trPr>
          <w:trHeight w:val="390"/>
        </w:trPr>
        <w:tc>
          <w:tcPr>
            <w:tcW w:w="14616" w:type="dxa"/>
            <w:gridSpan w:val="10"/>
            <w:tcBorders>
              <w:top w:val="nil"/>
              <w:left w:val="nil"/>
              <w:bottom w:val="nil"/>
              <w:right w:val="nil"/>
            </w:tcBorders>
            <w:shd w:val="clear" w:color="auto" w:fill="auto"/>
            <w:noWrap/>
            <w:vAlign w:val="bottom"/>
          </w:tcPr>
          <w:p w:rsidR="00117C2F" w:rsidRDefault="00117C2F">
            <w:pPr>
              <w:widowControl/>
              <w:jc w:val="center"/>
              <w:rPr>
                <w:rFonts w:ascii="宋体" w:hAnsi="宋体" w:cs="Arial"/>
                <w:color w:val="000000"/>
                <w:kern w:val="0"/>
                <w:sz w:val="30"/>
                <w:szCs w:val="30"/>
              </w:rPr>
            </w:pPr>
          </w:p>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支出决算表</w:t>
            </w:r>
          </w:p>
        </w:tc>
      </w:tr>
      <w:tr w:rsidR="00117C2F">
        <w:trPr>
          <w:trHeight w:val="255"/>
        </w:trPr>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33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03</w:t>
            </w:r>
            <w:r>
              <w:rPr>
                <w:rFonts w:ascii="宋体" w:hAnsi="宋体" w:cs="Arial" w:hint="eastAsia"/>
                <w:color w:val="000000"/>
                <w:kern w:val="0"/>
                <w:sz w:val="20"/>
                <w:szCs w:val="20"/>
              </w:rPr>
              <w:t>表</w:t>
            </w:r>
          </w:p>
        </w:tc>
      </w:tr>
      <w:tr w:rsidR="00117C2F">
        <w:trPr>
          <w:trHeight w:val="255"/>
        </w:trPr>
        <w:tc>
          <w:tcPr>
            <w:tcW w:w="4960" w:type="dxa"/>
            <w:gridSpan w:val="4"/>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180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33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335"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418"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701"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上缴上级支出</w:t>
            </w:r>
          </w:p>
        </w:tc>
        <w:tc>
          <w:tcPr>
            <w:tcW w:w="1559"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1843"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117C2F">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35"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43"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35"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43"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335"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843"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3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418"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701"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c>
          <w:tcPr>
            <w:tcW w:w="1559"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w:t>
            </w:r>
          </w:p>
        </w:tc>
        <w:tc>
          <w:tcPr>
            <w:tcW w:w="1843"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6</w:t>
            </w:r>
          </w:p>
        </w:tc>
      </w:tr>
      <w:tr w:rsidR="00117C2F">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1,770.88</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881.61</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889.27</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b/>
                <w:bCs/>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宣传事务</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行政运行</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其他宣传事务支出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教育支出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进修及培训</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2050803</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培训支出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文化和旅游市场管理</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其他文化和旅游支出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行政事业单位离退休</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归口管理的行政单位离退休</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2089901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行政单位医疗</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其他城乡社区支出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2129901</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农林水支出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农业</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2130199</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其他农业支出</w:t>
            </w:r>
          </w:p>
        </w:tc>
        <w:tc>
          <w:tcPr>
            <w:tcW w:w="18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33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1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1"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559"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843"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4616" w:type="dxa"/>
            <w:gridSpan w:val="10"/>
            <w:tcBorders>
              <w:top w:val="nil"/>
              <w:left w:val="nil"/>
              <w:bottom w:val="nil"/>
              <w:right w:val="nil"/>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注：本表反映部门本年度各项支出情况。本表金额转换为万元时，因四舍五入可能存在尾差。</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tbl>
      <w:tblPr>
        <w:tblW w:w="14820" w:type="dxa"/>
        <w:tblInd w:w="93" w:type="dxa"/>
        <w:tblLook w:val="04A0"/>
      </w:tblPr>
      <w:tblGrid>
        <w:gridCol w:w="3280"/>
        <w:gridCol w:w="580"/>
        <w:gridCol w:w="1680"/>
        <w:gridCol w:w="3660"/>
        <w:gridCol w:w="580"/>
        <w:gridCol w:w="1680"/>
        <w:gridCol w:w="1680"/>
        <w:gridCol w:w="1680"/>
      </w:tblGrid>
      <w:tr w:rsidR="00117C2F">
        <w:trPr>
          <w:trHeight w:val="390"/>
        </w:trPr>
        <w:tc>
          <w:tcPr>
            <w:tcW w:w="14820" w:type="dxa"/>
            <w:gridSpan w:val="8"/>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财政拨款收入支出决算总表</w:t>
            </w:r>
          </w:p>
        </w:tc>
      </w:tr>
      <w:tr w:rsidR="00117C2F">
        <w:trPr>
          <w:trHeight w:val="255"/>
        </w:trPr>
        <w:tc>
          <w:tcPr>
            <w:tcW w:w="32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66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04</w:t>
            </w:r>
            <w:r>
              <w:rPr>
                <w:rFonts w:ascii="宋体" w:hAnsi="宋体" w:cs="Arial" w:hint="eastAsia"/>
                <w:color w:val="000000"/>
                <w:kern w:val="0"/>
                <w:sz w:val="20"/>
                <w:szCs w:val="20"/>
              </w:rPr>
              <w:t>表</w:t>
            </w:r>
          </w:p>
        </w:tc>
      </w:tr>
      <w:tr w:rsidR="00117C2F">
        <w:trPr>
          <w:trHeight w:val="255"/>
        </w:trPr>
        <w:tc>
          <w:tcPr>
            <w:tcW w:w="3280" w:type="dxa"/>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5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66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554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收</w:t>
            </w:r>
            <w:r>
              <w:rPr>
                <w:rFonts w:ascii="宋体" w:hAnsi="宋体" w:cs="Arial" w:hint="eastAsia"/>
                <w:color w:val="000000"/>
                <w:kern w:val="0"/>
                <w:sz w:val="22"/>
              </w:rPr>
              <w:t xml:space="preserve">     </w:t>
            </w:r>
            <w:r>
              <w:rPr>
                <w:rFonts w:ascii="宋体" w:hAnsi="宋体" w:cs="Arial" w:hint="eastAsia"/>
                <w:color w:val="000000"/>
                <w:kern w:val="0"/>
                <w:sz w:val="22"/>
              </w:rPr>
              <w:t>入</w:t>
            </w:r>
          </w:p>
        </w:tc>
        <w:tc>
          <w:tcPr>
            <w:tcW w:w="9280" w:type="dxa"/>
            <w:gridSpan w:val="5"/>
            <w:tcBorders>
              <w:top w:val="single" w:sz="4" w:space="0" w:color="000000"/>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支</w:t>
            </w:r>
            <w:r>
              <w:rPr>
                <w:rFonts w:ascii="宋体" w:hAnsi="宋体" w:cs="Arial" w:hint="eastAsia"/>
                <w:color w:val="000000"/>
                <w:kern w:val="0"/>
                <w:sz w:val="22"/>
              </w:rPr>
              <w:t xml:space="preserve">     </w:t>
            </w:r>
            <w:r>
              <w:rPr>
                <w:rFonts w:ascii="宋体" w:hAnsi="宋体" w:cs="Arial" w:hint="eastAsia"/>
                <w:color w:val="000000"/>
                <w:kern w:val="0"/>
                <w:sz w:val="22"/>
              </w:rPr>
              <w:t>出</w:t>
            </w:r>
          </w:p>
        </w:tc>
      </w:tr>
      <w:tr w:rsidR="00117C2F">
        <w:trPr>
          <w:trHeight w:val="312"/>
        </w:trPr>
        <w:tc>
          <w:tcPr>
            <w:tcW w:w="3280" w:type="dxa"/>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366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一般公共预算财政拨款</w:t>
            </w:r>
          </w:p>
        </w:tc>
        <w:tc>
          <w:tcPr>
            <w:tcW w:w="16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r>
      <w:tr w:rsidR="00117C2F">
        <w:trPr>
          <w:trHeight w:val="615"/>
        </w:trPr>
        <w:tc>
          <w:tcPr>
            <w:tcW w:w="3280" w:type="dxa"/>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66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1,779.88</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二十一、灾害防治及应急管理支出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二十二、其他支出</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51</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52</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b/>
                <w:bCs/>
                <w:color w:val="000000"/>
                <w:kern w:val="0"/>
                <w:sz w:val="22"/>
              </w:rPr>
            </w:pPr>
            <w:r>
              <w:rPr>
                <w:rFonts w:ascii="宋体" w:hAnsi="宋体" w:cs="Arial" w:hint="eastAsia"/>
                <w:b/>
                <w:bCs/>
                <w:color w:val="000000"/>
                <w:kern w:val="0"/>
                <w:sz w:val="22"/>
              </w:rPr>
              <w:lastRenderedPageBreak/>
              <w:t>本年收入合计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1,779.88</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53</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1,770.88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1,770.88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年初财政拨款结转和结余</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年末财政拨款结转和结余</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54</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9.00</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55</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56</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57</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3280"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1,779.88</w:t>
            </w:r>
          </w:p>
        </w:tc>
        <w:tc>
          <w:tcPr>
            <w:tcW w:w="36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1,779.88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1,779.88</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555"/>
        </w:trPr>
        <w:tc>
          <w:tcPr>
            <w:tcW w:w="14820" w:type="dxa"/>
            <w:gridSpan w:val="8"/>
            <w:tcBorders>
              <w:top w:val="nil"/>
              <w:left w:val="nil"/>
              <w:bottom w:val="nil"/>
              <w:right w:val="nil"/>
            </w:tcBorders>
            <w:shd w:val="clear" w:color="auto" w:fill="auto"/>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sectPr w:rsidR="00117C2F">
          <w:pgSz w:w="16838" w:h="11906" w:orient="landscape"/>
          <w:pgMar w:top="851" w:right="1134" w:bottom="851" w:left="1134" w:header="720" w:footer="291" w:gutter="0"/>
          <w:pgNumType w:fmt="numberInDash"/>
          <w:cols w:space="720"/>
          <w:docGrid w:linePitch="312"/>
        </w:sectPr>
      </w:pPr>
    </w:p>
    <w:tbl>
      <w:tblPr>
        <w:tblW w:w="9655" w:type="dxa"/>
        <w:tblInd w:w="93" w:type="dxa"/>
        <w:tblLook w:val="04A0"/>
      </w:tblPr>
      <w:tblGrid>
        <w:gridCol w:w="340"/>
        <w:gridCol w:w="340"/>
        <w:gridCol w:w="340"/>
        <w:gridCol w:w="3390"/>
        <w:gridCol w:w="1560"/>
        <w:gridCol w:w="1700"/>
        <w:gridCol w:w="142"/>
        <w:gridCol w:w="1843"/>
      </w:tblGrid>
      <w:tr w:rsidR="00117C2F">
        <w:trPr>
          <w:trHeight w:val="390"/>
        </w:trPr>
        <w:tc>
          <w:tcPr>
            <w:tcW w:w="9655" w:type="dxa"/>
            <w:gridSpan w:val="8"/>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一般公共预算财政拨款支出决算表</w:t>
            </w:r>
          </w:p>
        </w:tc>
      </w:tr>
      <w:tr w:rsidR="00117C2F">
        <w:trPr>
          <w:trHeight w:val="255"/>
        </w:trPr>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39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2"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05</w:t>
            </w:r>
            <w:r>
              <w:rPr>
                <w:rFonts w:ascii="宋体" w:hAnsi="宋体" w:cs="Arial" w:hint="eastAsia"/>
                <w:color w:val="000000"/>
                <w:kern w:val="0"/>
                <w:sz w:val="20"/>
                <w:szCs w:val="20"/>
              </w:rPr>
              <w:t>表</w:t>
            </w:r>
          </w:p>
        </w:tc>
      </w:tr>
      <w:tr w:rsidR="00117C2F">
        <w:trPr>
          <w:trHeight w:val="255"/>
        </w:trPr>
        <w:tc>
          <w:tcPr>
            <w:tcW w:w="4410" w:type="dxa"/>
            <w:gridSpan w:val="4"/>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156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2"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441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245" w:type="dxa"/>
            <w:gridSpan w:val="4"/>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本年支出</w:t>
            </w:r>
          </w:p>
        </w:tc>
      </w:tr>
      <w:tr w:rsidR="00117C2F">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390" w:type="dxa"/>
            <w:vMerge w:val="restart"/>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56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70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985" w:type="dxa"/>
            <w:gridSpan w:val="2"/>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项目支出</w:t>
            </w: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39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56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70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985" w:type="dxa"/>
            <w:gridSpan w:val="2"/>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39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56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70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985" w:type="dxa"/>
            <w:gridSpan w:val="2"/>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441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56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70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985"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r>
      <w:tr w:rsidR="00117C2F">
        <w:trPr>
          <w:trHeight w:val="308"/>
        </w:trPr>
        <w:tc>
          <w:tcPr>
            <w:tcW w:w="441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1,770.88</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881.61</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889.27</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宣传事务</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1,490.66</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行政运行</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690.49</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2013399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其他宣传事务支出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800.16</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公共安全支出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其他公共安全支出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2049901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其他公共安全支出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20.93</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教育支出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进修及培训</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2050803</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培训支出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22.81</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43.29</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2070112</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文化和旅游市场管理</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3.29</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其他文化和旅游支出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40.00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20706</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新闻出版电影</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2070699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其他新闻出版电影支出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127.56</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行政事业单位离退休</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124.58</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归口管理的行政单位离退休</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74.16</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18"/>
                <w:szCs w:val="18"/>
              </w:rPr>
            </w:pPr>
            <w:r>
              <w:rPr>
                <w:rFonts w:ascii="宋体" w:hAnsi="宋体" w:cs="Arial" w:hint="eastAsia"/>
                <w:color w:val="000000"/>
                <w:kern w:val="0"/>
                <w:sz w:val="18"/>
                <w:szCs w:val="18"/>
              </w:rPr>
              <w:t>机关事业单位基本养老保险缴费支出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50.42</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其他社会保障和就业支出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2089901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其他社会保障和就业支出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42.63</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行政单位医疗</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21.72</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2101103</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城乡社区支出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其他城乡社区支出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2129901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2129901</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农林水支出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农业</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2130199</w:t>
            </w:r>
          </w:p>
        </w:tc>
        <w:tc>
          <w:tcPr>
            <w:tcW w:w="339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其他农业支出</w:t>
            </w:r>
          </w:p>
        </w:tc>
        <w:tc>
          <w:tcPr>
            <w:tcW w:w="156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c>
          <w:tcPr>
            <w:tcW w:w="170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985" w:type="dxa"/>
            <w:gridSpan w:val="2"/>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3.00</w:t>
            </w:r>
          </w:p>
        </w:tc>
      </w:tr>
      <w:tr w:rsidR="00117C2F">
        <w:trPr>
          <w:trHeight w:val="308"/>
        </w:trPr>
        <w:tc>
          <w:tcPr>
            <w:tcW w:w="9655" w:type="dxa"/>
            <w:gridSpan w:val="8"/>
            <w:tcBorders>
              <w:top w:val="nil"/>
              <w:left w:val="nil"/>
              <w:bottom w:val="nil"/>
              <w:right w:val="nil"/>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注：本表反映部门本年度一般公共预算财政拨款支出情况。本表金额转换为万元时，因四舍五入可能存在尾差。</w:t>
            </w:r>
          </w:p>
        </w:tc>
      </w:tr>
    </w:tbl>
    <w:p w:rsidR="00117C2F" w:rsidRDefault="00117C2F">
      <w:pPr>
        <w:widowControl/>
        <w:jc w:val="left"/>
        <w:rPr>
          <w:rFonts w:ascii="黑体" w:eastAsia="黑体" w:hAnsi="黑体" w:cs="黑体"/>
          <w:sz w:val="32"/>
          <w:szCs w:val="32"/>
        </w:rPr>
        <w:sectPr w:rsidR="00117C2F">
          <w:pgSz w:w="11906" w:h="16838"/>
          <w:pgMar w:top="1134" w:right="1134" w:bottom="1134" w:left="1134" w:header="720" w:footer="291" w:gutter="0"/>
          <w:pgNumType w:fmt="numberInDash"/>
          <w:cols w:space="720"/>
          <w:docGrid w:linePitch="312"/>
        </w:sectPr>
      </w:pPr>
    </w:p>
    <w:p w:rsidR="00117C2F" w:rsidRDefault="00117C2F">
      <w:pPr>
        <w:widowControl/>
        <w:jc w:val="left"/>
        <w:rPr>
          <w:rFonts w:ascii="黑体" w:eastAsia="黑体" w:hAnsi="黑体" w:cs="黑体"/>
          <w:sz w:val="32"/>
          <w:szCs w:val="32"/>
        </w:rPr>
      </w:pPr>
    </w:p>
    <w:tbl>
      <w:tblPr>
        <w:tblW w:w="14616" w:type="dxa"/>
        <w:tblInd w:w="93" w:type="dxa"/>
        <w:tblLook w:val="04A0"/>
      </w:tblPr>
      <w:tblGrid>
        <w:gridCol w:w="766"/>
        <w:gridCol w:w="3520"/>
        <w:gridCol w:w="1116"/>
        <w:gridCol w:w="766"/>
        <w:gridCol w:w="84"/>
        <w:gridCol w:w="1985"/>
        <w:gridCol w:w="142"/>
        <w:gridCol w:w="876"/>
        <w:gridCol w:w="766"/>
        <w:gridCol w:w="368"/>
        <w:gridCol w:w="2977"/>
        <w:gridCol w:w="1276"/>
      </w:tblGrid>
      <w:tr w:rsidR="00117C2F">
        <w:trPr>
          <w:trHeight w:val="390"/>
        </w:trPr>
        <w:tc>
          <w:tcPr>
            <w:tcW w:w="13340" w:type="dxa"/>
            <w:gridSpan w:val="11"/>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t>一般公共预算财政拨款基本支出决算表</w:t>
            </w:r>
          </w:p>
        </w:tc>
        <w:tc>
          <w:tcPr>
            <w:tcW w:w="127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r>
      <w:tr w:rsidR="00117C2F">
        <w:trPr>
          <w:trHeight w:val="255"/>
        </w:trPr>
        <w:tc>
          <w:tcPr>
            <w:tcW w:w="76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5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11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069"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992"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345"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18"/>
                <w:szCs w:val="18"/>
              </w:rPr>
            </w:pPr>
            <w:r>
              <w:rPr>
                <w:rFonts w:ascii="宋体" w:hAnsi="宋体" w:cs="Arial" w:hint="eastAsia"/>
                <w:color w:val="000000"/>
                <w:kern w:val="0"/>
                <w:sz w:val="18"/>
                <w:szCs w:val="18"/>
              </w:rPr>
              <w:t>公开</w:t>
            </w:r>
            <w:r>
              <w:rPr>
                <w:rFonts w:ascii="宋体" w:hAnsi="宋体" w:cs="Arial" w:hint="eastAsia"/>
                <w:color w:val="000000"/>
                <w:kern w:val="0"/>
                <w:sz w:val="18"/>
                <w:szCs w:val="18"/>
              </w:rPr>
              <w:t>06</w:t>
            </w:r>
            <w:r>
              <w:rPr>
                <w:rFonts w:ascii="宋体" w:hAnsi="宋体" w:cs="Arial" w:hint="eastAsia"/>
                <w:color w:val="000000"/>
                <w:kern w:val="0"/>
                <w:sz w:val="18"/>
                <w:szCs w:val="18"/>
              </w:rPr>
              <w:t>表</w:t>
            </w:r>
          </w:p>
        </w:tc>
      </w:tr>
      <w:tr w:rsidR="00117C2F">
        <w:trPr>
          <w:trHeight w:val="255"/>
        </w:trPr>
        <w:tc>
          <w:tcPr>
            <w:tcW w:w="4286" w:type="dxa"/>
            <w:gridSpan w:val="2"/>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111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069"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992" w:type="dxa"/>
            <w:gridSpan w:val="2"/>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4621" w:type="dxa"/>
            <w:gridSpan w:val="3"/>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117C2F">
        <w:trPr>
          <w:trHeight w:val="308"/>
        </w:trPr>
        <w:tc>
          <w:tcPr>
            <w:tcW w:w="5402"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人员经费</w:t>
            </w:r>
          </w:p>
        </w:tc>
        <w:tc>
          <w:tcPr>
            <w:tcW w:w="9214" w:type="dxa"/>
            <w:gridSpan w:val="9"/>
            <w:tcBorders>
              <w:top w:val="single" w:sz="4" w:space="0" w:color="000000"/>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公用经费</w:t>
            </w:r>
          </w:p>
        </w:tc>
      </w:tr>
      <w:tr w:rsidR="00117C2F">
        <w:trPr>
          <w:trHeight w:val="312"/>
        </w:trPr>
        <w:tc>
          <w:tcPr>
            <w:tcW w:w="766" w:type="dxa"/>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52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116"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850" w:type="dxa"/>
            <w:gridSpan w:val="2"/>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127" w:type="dxa"/>
            <w:gridSpan w:val="2"/>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85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1134" w:type="dxa"/>
            <w:gridSpan w:val="2"/>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977"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276"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117C2F">
        <w:trPr>
          <w:trHeight w:val="312"/>
        </w:trPr>
        <w:tc>
          <w:tcPr>
            <w:tcW w:w="766" w:type="dxa"/>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52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116"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850" w:type="dxa"/>
            <w:gridSpan w:val="2"/>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2127" w:type="dxa"/>
            <w:gridSpan w:val="2"/>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85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134" w:type="dxa"/>
            <w:gridSpan w:val="2"/>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2977"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6"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工资福利支出</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702.84</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商品和服务支出</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104.22</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307</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债务利息及费用支出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30101</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基本工资</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206.52</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30201</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办公费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9.32</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30701</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国内债务付息</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30102</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津贴补贴</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145.29</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30202</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印刷费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2.17</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30702</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国外债务付息</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30103</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奖金</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209.96</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30203</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咨询费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资本性支出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0.50</w:t>
            </w: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30106</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伙食补助费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30204</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手续费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31001</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房屋建筑物购建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30107</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绩效工资</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30205</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水费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31002</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办公设备购置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0.50</w:t>
            </w: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30108</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52.37</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30206</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电费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31003</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专用设备购置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30109</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职业年金缴费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0.39</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30207</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邮电费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9.65</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31005</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基础设施建设</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30110</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职工基本医疗保险缴费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22.35</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30208</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取暖费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31006</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大型修缮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30111</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公务员医疗补助缴费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20.91</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30209</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物业管理费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31007</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信息网络及软件购置更新</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30112</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其他社会保障缴费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1.48</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30211</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差旅费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3.79</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31008</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物资储备</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30113</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住房公积金</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43.57</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30212</w:t>
            </w:r>
          </w:p>
        </w:tc>
        <w:tc>
          <w:tcPr>
            <w:tcW w:w="2127" w:type="dxa"/>
            <w:gridSpan w:val="2"/>
            <w:tcBorders>
              <w:top w:val="nil"/>
              <w:left w:val="nil"/>
              <w:bottom w:val="single" w:sz="4" w:space="0" w:color="000000"/>
              <w:right w:val="single" w:sz="4" w:space="0" w:color="000000"/>
            </w:tcBorders>
            <w:shd w:val="clear" w:color="FFFFFF" w:fill="C0C0C0"/>
            <w:noWrap/>
          </w:tcPr>
          <w:p w:rsidR="00117C2F" w:rsidRDefault="00F3246D">
            <w:pPr>
              <w:widowControl/>
              <w:rPr>
                <w:rFonts w:ascii="宋体" w:hAnsi="宋体" w:cs="Arial"/>
                <w:color w:val="000000"/>
                <w:kern w:val="0"/>
                <w:sz w:val="22"/>
              </w:rPr>
            </w:pPr>
            <w:r>
              <w:rPr>
                <w:rFonts w:ascii="宋体" w:hAnsi="宋体" w:cs="Arial" w:hint="eastAsia"/>
                <w:color w:val="000000"/>
                <w:kern w:val="0"/>
                <w:sz w:val="22"/>
              </w:rPr>
              <w:t>因公出国（境）费用</w:t>
            </w:r>
          </w:p>
        </w:tc>
        <w:tc>
          <w:tcPr>
            <w:tcW w:w="850" w:type="dxa"/>
            <w:tcBorders>
              <w:top w:val="nil"/>
              <w:left w:val="nil"/>
              <w:bottom w:val="single" w:sz="4" w:space="0" w:color="000000"/>
              <w:right w:val="single" w:sz="4" w:space="0" w:color="000000"/>
            </w:tcBorders>
            <w:shd w:val="clear" w:color="auto" w:fill="auto"/>
            <w:noWrap/>
          </w:tcPr>
          <w:p w:rsidR="00117C2F" w:rsidRDefault="00117C2F">
            <w:pPr>
              <w:widowControl/>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tcPr>
          <w:p w:rsidR="00117C2F" w:rsidRDefault="00F3246D">
            <w:pPr>
              <w:widowControl/>
              <w:rPr>
                <w:rFonts w:ascii="宋体" w:hAnsi="宋体" w:cs="Arial"/>
                <w:color w:val="000000"/>
                <w:kern w:val="0"/>
                <w:sz w:val="22"/>
              </w:rPr>
            </w:pPr>
            <w:r>
              <w:rPr>
                <w:rFonts w:ascii="宋体" w:hAnsi="宋体" w:cs="Arial" w:hint="eastAsia"/>
                <w:color w:val="000000"/>
                <w:kern w:val="0"/>
                <w:sz w:val="22"/>
              </w:rPr>
              <w:t>31009</w:t>
            </w:r>
          </w:p>
        </w:tc>
        <w:tc>
          <w:tcPr>
            <w:tcW w:w="2977" w:type="dxa"/>
            <w:tcBorders>
              <w:top w:val="nil"/>
              <w:left w:val="nil"/>
              <w:bottom w:val="single" w:sz="4" w:space="0" w:color="000000"/>
              <w:right w:val="single" w:sz="4" w:space="0" w:color="000000"/>
            </w:tcBorders>
            <w:shd w:val="clear" w:color="FFFFFF" w:fill="C0C0C0"/>
            <w:noWrap/>
          </w:tcPr>
          <w:p w:rsidR="00117C2F" w:rsidRDefault="00F3246D">
            <w:pPr>
              <w:widowControl/>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土地补偿</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30114</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医疗费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30213</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维修（护）费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31010</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安置补助</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30199</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其他工资福利支出</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30214</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租赁费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31011</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地上附着物和青苗补偿</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对个人和家庭的补助</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74.05</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30215</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会议费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0.74</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31012</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拆迁补偿</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30301</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离休费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30216</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培训费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31013</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公务用车购置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30302</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退休费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72.53</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30217</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公务接待费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4.23</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31019</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其他交通工具购置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30303</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退职（役）费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30218</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专用材料费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31021</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文物和陈列品购置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30304</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抚恤金</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30224</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被装购置费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31022</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无形资产购置</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30305</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生活补助</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1.52</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30225</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专用燃料费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31099</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其他资本性支出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30306</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救济费</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30226</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劳务费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2.31</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399</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30307</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医疗费补助</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30227</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委托业务费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1.34</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39906</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赠与</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30308</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助学金</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30228</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工会经费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6.93</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39907</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国家赔偿费用支出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30309</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奖励金</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30229</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福利费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5.69</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39908</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Cs w:val="21"/>
              </w:rPr>
              <w:t>对民间非营利组织和群众性自</w:t>
            </w:r>
            <w:r>
              <w:rPr>
                <w:rFonts w:ascii="宋体" w:hAnsi="宋体" w:cs="Arial" w:hint="eastAsia"/>
                <w:color w:val="000000"/>
                <w:kern w:val="0"/>
                <w:szCs w:val="21"/>
              </w:rPr>
              <w:lastRenderedPageBreak/>
              <w:t>治组织补贴</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lastRenderedPageBreak/>
              <w:t>30310</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个人农业生产补贴</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30231</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Cs w:val="21"/>
              </w:rPr>
            </w:pPr>
            <w:r>
              <w:rPr>
                <w:rFonts w:ascii="宋体" w:hAnsi="宋体" w:cs="Arial" w:hint="eastAsia"/>
                <w:color w:val="000000"/>
                <w:kern w:val="0"/>
                <w:szCs w:val="21"/>
              </w:rPr>
              <w:t>公务用车运行维护费</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14.13</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39999</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其他支出</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30399</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其他对个人和家庭的补助</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30239</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其他交通费用</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38.59</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30240</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税金及附加费用</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117C2F">
            <w:pPr>
              <w:widowControl/>
              <w:jc w:val="left"/>
              <w:rPr>
                <w:rFonts w:ascii="宋体" w:hAnsi="宋体" w:cs="Arial"/>
                <w:color w:val="000000"/>
                <w:kern w:val="0"/>
                <w:sz w:val="22"/>
              </w:rPr>
            </w:pP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52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850"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30299</w:t>
            </w:r>
          </w:p>
        </w:tc>
        <w:tc>
          <w:tcPr>
            <w:tcW w:w="2127"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Cs w:val="21"/>
              </w:rPr>
              <w:t>其他商品和服务支出</w:t>
            </w:r>
          </w:p>
        </w:tc>
        <w:tc>
          <w:tcPr>
            <w:tcW w:w="85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5.34</w:t>
            </w:r>
          </w:p>
        </w:tc>
        <w:tc>
          <w:tcPr>
            <w:tcW w:w="1134" w:type="dxa"/>
            <w:gridSpan w:val="2"/>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4286" w:type="dxa"/>
            <w:gridSpan w:val="2"/>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人员经费合计</w:t>
            </w:r>
          </w:p>
        </w:tc>
        <w:tc>
          <w:tcPr>
            <w:tcW w:w="111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776.89</w:t>
            </w:r>
          </w:p>
        </w:tc>
        <w:tc>
          <w:tcPr>
            <w:tcW w:w="7938" w:type="dxa"/>
            <w:gridSpan w:val="8"/>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公用经费合计</w:t>
            </w:r>
          </w:p>
        </w:tc>
        <w:tc>
          <w:tcPr>
            <w:tcW w:w="12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104.72</w:t>
            </w:r>
          </w:p>
        </w:tc>
      </w:tr>
      <w:tr w:rsidR="00117C2F">
        <w:trPr>
          <w:trHeight w:val="308"/>
        </w:trPr>
        <w:tc>
          <w:tcPr>
            <w:tcW w:w="14616" w:type="dxa"/>
            <w:gridSpan w:val="12"/>
            <w:tcBorders>
              <w:top w:val="nil"/>
              <w:left w:val="nil"/>
              <w:bottom w:val="nil"/>
              <w:right w:val="nil"/>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tbl>
      <w:tblPr>
        <w:tblW w:w="14697" w:type="dxa"/>
        <w:tblInd w:w="93" w:type="dxa"/>
        <w:tblLook w:val="04A0"/>
      </w:tblPr>
      <w:tblGrid>
        <w:gridCol w:w="1121"/>
        <w:gridCol w:w="1420"/>
        <w:gridCol w:w="913"/>
        <w:gridCol w:w="1265"/>
        <w:gridCol w:w="1105"/>
        <w:gridCol w:w="1420"/>
        <w:gridCol w:w="888"/>
        <w:gridCol w:w="1420"/>
        <w:gridCol w:w="875"/>
        <w:gridCol w:w="1420"/>
        <w:gridCol w:w="1420"/>
        <w:gridCol w:w="1430"/>
      </w:tblGrid>
      <w:tr w:rsidR="00117C2F">
        <w:trPr>
          <w:trHeight w:val="540"/>
        </w:trPr>
        <w:tc>
          <w:tcPr>
            <w:tcW w:w="13267" w:type="dxa"/>
            <w:gridSpan w:val="11"/>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一般公共预算财政拨款“三公”经费支出决算表</w:t>
            </w:r>
          </w:p>
        </w:tc>
        <w:tc>
          <w:tcPr>
            <w:tcW w:w="143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r>
      <w:tr w:rsidR="00117C2F">
        <w:trPr>
          <w:trHeight w:val="255"/>
        </w:trPr>
        <w:tc>
          <w:tcPr>
            <w:tcW w:w="1121"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913"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6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10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88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87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07</w:t>
            </w:r>
            <w:r>
              <w:rPr>
                <w:rFonts w:ascii="宋体" w:hAnsi="宋体" w:cs="Arial" w:hint="eastAsia"/>
                <w:color w:val="000000"/>
                <w:kern w:val="0"/>
                <w:sz w:val="20"/>
                <w:szCs w:val="20"/>
              </w:rPr>
              <w:t>表</w:t>
            </w:r>
          </w:p>
        </w:tc>
      </w:tr>
      <w:tr w:rsidR="00117C2F">
        <w:trPr>
          <w:trHeight w:val="255"/>
        </w:trPr>
        <w:tc>
          <w:tcPr>
            <w:tcW w:w="2541" w:type="dxa"/>
            <w:gridSpan w:val="2"/>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913"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6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10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888"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875"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850" w:type="dxa"/>
            <w:gridSpan w:val="2"/>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7244"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7453" w:type="dxa"/>
            <w:gridSpan w:val="6"/>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117C2F">
        <w:trPr>
          <w:trHeight w:val="308"/>
        </w:trPr>
        <w:tc>
          <w:tcPr>
            <w:tcW w:w="1121" w:type="dxa"/>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283" w:type="dxa"/>
            <w:gridSpan w:val="3"/>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42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公务接待费</w:t>
            </w:r>
          </w:p>
        </w:tc>
        <w:tc>
          <w:tcPr>
            <w:tcW w:w="888"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715" w:type="dxa"/>
            <w:gridSpan w:val="3"/>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43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公务接待费</w:t>
            </w:r>
          </w:p>
        </w:tc>
      </w:tr>
      <w:tr w:rsidR="00117C2F">
        <w:trPr>
          <w:trHeight w:val="615"/>
        </w:trPr>
        <w:tc>
          <w:tcPr>
            <w:tcW w:w="1121" w:type="dxa"/>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2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913"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26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0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42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888"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42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87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43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1121" w:type="dxa"/>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913"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6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0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6</w:t>
            </w:r>
          </w:p>
        </w:tc>
        <w:tc>
          <w:tcPr>
            <w:tcW w:w="888"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7</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8</w:t>
            </w:r>
          </w:p>
        </w:tc>
        <w:tc>
          <w:tcPr>
            <w:tcW w:w="875"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9</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42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430" w:type="dxa"/>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12</w:t>
            </w:r>
          </w:p>
        </w:tc>
      </w:tr>
      <w:tr w:rsidR="00117C2F">
        <w:trPr>
          <w:trHeight w:val="308"/>
        </w:trPr>
        <w:tc>
          <w:tcPr>
            <w:tcW w:w="1121" w:type="dxa"/>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55.9</w:t>
            </w:r>
          </w:p>
        </w:tc>
        <w:tc>
          <w:tcPr>
            <w:tcW w:w="142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913"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41.9</w:t>
            </w:r>
          </w:p>
        </w:tc>
        <w:tc>
          <w:tcPr>
            <w:tcW w:w="1265"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10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41.9</w:t>
            </w:r>
          </w:p>
        </w:tc>
        <w:tc>
          <w:tcPr>
            <w:tcW w:w="142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14</w:t>
            </w:r>
          </w:p>
        </w:tc>
        <w:tc>
          <w:tcPr>
            <w:tcW w:w="888"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42.29</w:t>
            </w:r>
          </w:p>
        </w:tc>
        <w:tc>
          <w:tcPr>
            <w:tcW w:w="142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875"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35.95</w:t>
            </w:r>
          </w:p>
        </w:tc>
        <w:tc>
          <w:tcPr>
            <w:tcW w:w="1420" w:type="dxa"/>
            <w:tcBorders>
              <w:top w:val="nil"/>
              <w:left w:val="nil"/>
              <w:bottom w:val="single" w:sz="4" w:space="0" w:color="000000"/>
              <w:right w:val="single" w:sz="4" w:space="0" w:color="000000"/>
            </w:tcBorders>
            <w:shd w:val="clear" w:color="auto" w:fill="auto"/>
            <w:noWrap/>
            <w:vAlign w:val="center"/>
          </w:tcPr>
          <w:p w:rsidR="00117C2F" w:rsidRDefault="00117C2F">
            <w:pPr>
              <w:widowControl/>
              <w:jc w:val="right"/>
              <w:rPr>
                <w:rFonts w:ascii="宋体" w:hAnsi="宋体" w:cs="Arial"/>
                <w:color w:val="000000"/>
                <w:kern w:val="0"/>
                <w:sz w:val="22"/>
              </w:rPr>
            </w:pPr>
          </w:p>
        </w:tc>
        <w:tc>
          <w:tcPr>
            <w:tcW w:w="142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35.95</w:t>
            </w:r>
          </w:p>
        </w:tc>
        <w:tc>
          <w:tcPr>
            <w:tcW w:w="143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6.34</w:t>
            </w:r>
          </w:p>
        </w:tc>
      </w:tr>
      <w:tr w:rsidR="00117C2F">
        <w:trPr>
          <w:trHeight w:val="615"/>
        </w:trPr>
        <w:tc>
          <w:tcPr>
            <w:tcW w:w="14697" w:type="dxa"/>
            <w:gridSpan w:val="12"/>
            <w:tcBorders>
              <w:top w:val="nil"/>
              <w:left w:val="nil"/>
              <w:bottom w:val="nil"/>
              <w:right w:val="nil"/>
            </w:tcBorders>
            <w:shd w:val="clear" w:color="auto" w:fill="auto"/>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tbl>
      <w:tblPr>
        <w:tblW w:w="14545" w:type="dxa"/>
        <w:tblInd w:w="93" w:type="dxa"/>
        <w:tblLook w:val="04A0"/>
      </w:tblPr>
      <w:tblGrid>
        <w:gridCol w:w="340"/>
        <w:gridCol w:w="340"/>
        <w:gridCol w:w="340"/>
        <w:gridCol w:w="3940"/>
        <w:gridCol w:w="1680"/>
        <w:gridCol w:w="1270"/>
        <w:gridCol w:w="1176"/>
        <w:gridCol w:w="1680"/>
        <w:gridCol w:w="1680"/>
        <w:gridCol w:w="2099"/>
      </w:tblGrid>
      <w:tr w:rsidR="00117C2F">
        <w:trPr>
          <w:trHeight w:val="390"/>
        </w:trPr>
        <w:tc>
          <w:tcPr>
            <w:tcW w:w="14545" w:type="dxa"/>
            <w:gridSpan w:val="10"/>
            <w:tcBorders>
              <w:top w:val="nil"/>
              <w:left w:val="nil"/>
              <w:bottom w:val="nil"/>
              <w:right w:val="nil"/>
            </w:tcBorders>
            <w:shd w:val="clear" w:color="auto" w:fill="auto"/>
            <w:noWrap/>
            <w:vAlign w:val="bottom"/>
          </w:tcPr>
          <w:p w:rsidR="00117C2F" w:rsidRDefault="00F3246D">
            <w:pPr>
              <w:widowControl/>
              <w:jc w:val="center"/>
              <w:rPr>
                <w:rFonts w:ascii="Arial" w:hAnsi="Arial" w:cs="Arial"/>
                <w:color w:val="000000"/>
                <w:kern w:val="0"/>
                <w:sz w:val="20"/>
                <w:szCs w:val="20"/>
              </w:rPr>
            </w:pPr>
            <w:r>
              <w:rPr>
                <w:rFonts w:ascii="华文中宋" w:eastAsia="华文中宋" w:hAnsi="华文中宋" w:cs="华文中宋" w:hint="eastAsia"/>
                <w:color w:val="000000"/>
                <w:kern w:val="0"/>
                <w:sz w:val="32"/>
                <w:szCs w:val="32"/>
              </w:rPr>
              <w:lastRenderedPageBreak/>
              <w:t>政府性基金预算财政拨款收入支出决算表</w:t>
            </w:r>
          </w:p>
        </w:tc>
      </w:tr>
      <w:tr w:rsidR="00117C2F">
        <w:trPr>
          <w:trHeight w:val="255"/>
        </w:trPr>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7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17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099"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08</w:t>
            </w:r>
            <w:r>
              <w:rPr>
                <w:rFonts w:ascii="宋体" w:hAnsi="宋体" w:cs="Arial" w:hint="eastAsia"/>
                <w:color w:val="000000"/>
                <w:kern w:val="0"/>
                <w:sz w:val="20"/>
                <w:szCs w:val="20"/>
              </w:rPr>
              <w:t>表</w:t>
            </w:r>
          </w:p>
        </w:tc>
      </w:tr>
      <w:tr w:rsidR="00117C2F">
        <w:trPr>
          <w:trHeight w:val="255"/>
        </w:trPr>
        <w:tc>
          <w:tcPr>
            <w:tcW w:w="4960" w:type="dxa"/>
            <w:gridSpan w:val="4"/>
            <w:tcBorders>
              <w:top w:val="nil"/>
              <w:left w:val="nil"/>
              <w:bottom w:val="nil"/>
              <w:right w:val="nil"/>
            </w:tcBorders>
            <w:shd w:val="clear" w:color="auto" w:fill="auto"/>
            <w:noWrap/>
            <w:vAlign w:val="bottom"/>
          </w:tcPr>
          <w:p w:rsidR="00117C2F" w:rsidRDefault="00F3246D">
            <w:pPr>
              <w:widowControl/>
              <w:jc w:val="left"/>
              <w:rPr>
                <w:rFonts w:ascii="宋体" w:hAnsi="宋体" w:cs="Arial"/>
                <w:color w:val="000000"/>
                <w:kern w:val="0"/>
                <w:sz w:val="20"/>
                <w:szCs w:val="20"/>
              </w:rPr>
            </w:pPr>
            <w:r>
              <w:rPr>
                <w:rFonts w:ascii="宋体" w:hAnsi="宋体" w:cs="Arial" w:hint="eastAsia"/>
                <w:color w:val="000000"/>
                <w:kern w:val="0"/>
                <w:sz w:val="20"/>
                <w:szCs w:val="20"/>
              </w:rPr>
              <w:t>部门：中共新乡市委宣传部</w:t>
            </w: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27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176"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rsidR="00117C2F" w:rsidRDefault="00117C2F">
            <w:pPr>
              <w:widowControl/>
              <w:jc w:val="left"/>
              <w:rPr>
                <w:rFonts w:ascii="Arial" w:hAnsi="Arial" w:cs="Arial"/>
                <w:color w:val="000000"/>
                <w:kern w:val="0"/>
                <w:sz w:val="20"/>
                <w:szCs w:val="20"/>
              </w:rPr>
            </w:pPr>
          </w:p>
        </w:tc>
        <w:tc>
          <w:tcPr>
            <w:tcW w:w="2099" w:type="dxa"/>
            <w:tcBorders>
              <w:top w:val="nil"/>
              <w:left w:val="nil"/>
              <w:bottom w:val="nil"/>
              <w:right w:val="nil"/>
            </w:tcBorders>
            <w:shd w:val="clear" w:color="auto" w:fill="auto"/>
            <w:noWrap/>
            <w:vAlign w:val="bottom"/>
          </w:tcPr>
          <w:p w:rsidR="00117C2F" w:rsidRDefault="00F3246D">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117C2F">
        <w:trPr>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年初结转和结余</w:t>
            </w:r>
          </w:p>
        </w:tc>
        <w:tc>
          <w:tcPr>
            <w:tcW w:w="1270"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本年收入</w:t>
            </w:r>
          </w:p>
        </w:tc>
        <w:tc>
          <w:tcPr>
            <w:tcW w:w="4536" w:type="dxa"/>
            <w:gridSpan w:val="3"/>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本年支出</w:t>
            </w:r>
          </w:p>
        </w:tc>
        <w:tc>
          <w:tcPr>
            <w:tcW w:w="2099" w:type="dxa"/>
            <w:vMerge w:val="restart"/>
            <w:tcBorders>
              <w:top w:val="single" w:sz="4" w:space="0" w:color="000000"/>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年末结转和结余</w:t>
            </w:r>
          </w:p>
        </w:tc>
      </w:tr>
      <w:tr w:rsidR="00117C2F">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68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176"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6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680" w:type="dxa"/>
            <w:vMerge w:val="restart"/>
            <w:tcBorders>
              <w:top w:val="nil"/>
              <w:left w:val="nil"/>
              <w:bottom w:val="single" w:sz="4" w:space="0" w:color="000000"/>
              <w:right w:val="single" w:sz="4" w:space="0" w:color="000000"/>
            </w:tcBorders>
            <w:shd w:val="clear" w:color="FFFFFF" w:fill="C0C0C0"/>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209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176"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209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12"/>
        </w:trPr>
        <w:tc>
          <w:tcPr>
            <w:tcW w:w="1020" w:type="dxa"/>
            <w:gridSpan w:val="3"/>
            <w:vMerge/>
            <w:tcBorders>
              <w:top w:val="nil"/>
              <w:left w:val="single" w:sz="4" w:space="0" w:color="000000"/>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270"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176"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c>
          <w:tcPr>
            <w:tcW w:w="2099" w:type="dxa"/>
            <w:vMerge/>
            <w:tcBorders>
              <w:top w:val="single" w:sz="4" w:space="0" w:color="000000"/>
              <w:left w:val="nil"/>
              <w:bottom w:val="single" w:sz="4" w:space="0" w:color="000000"/>
              <w:right w:val="single" w:sz="4" w:space="0" w:color="000000"/>
            </w:tcBorders>
            <w:vAlign w:val="center"/>
          </w:tcPr>
          <w:p w:rsidR="00117C2F" w:rsidRDefault="00117C2F">
            <w:pPr>
              <w:widowControl/>
              <w:jc w:val="left"/>
              <w:rPr>
                <w:rFonts w:ascii="宋体" w:hAnsi="宋体" w:cs="Arial"/>
                <w:color w:val="000000"/>
                <w:kern w:val="0"/>
                <w:sz w:val="22"/>
              </w:rPr>
            </w:pPr>
          </w:p>
        </w:tc>
      </w:tr>
      <w:tr w:rsidR="00117C2F">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1</w:t>
            </w:r>
          </w:p>
        </w:tc>
        <w:tc>
          <w:tcPr>
            <w:tcW w:w="127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2</w:t>
            </w:r>
          </w:p>
        </w:tc>
        <w:tc>
          <w:tcPr>
            <w:tcW w:w="1176"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5</w:t>
            </w:r>
          </w:p>
        </w:tc>
        <w:tc>
          <w:tcPr>
            <w:tcW w:w="2099" w:type="dxa"/>
            <w:tcBorders>
              <w:top w:val="nil"/>
              <w:left w:val="nil"/>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6</w:t>
            </w:r>
          </w:p>
        </w:tc>
      </w:tr>
      <w:tr w:rsidR="00117C2F">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tcPr>
          <w:p w:rsidR="00117C2F" w:rsidRDefault="00F3246D">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7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76"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099" w:type="dxa"/>
            <w:tcBorders>
              <w:top w:val="nil"/>
              <w:left w:val="nil"/>
              <w:bottom w:val="single" w:sz="4" w:space="0" w:color="000000"/>
              <w:right w:val="single" w:sz="4" w:space="0" w:color="000000"/>
            </w:tcBorders>
            <w:shd w:val="clear" w:color="auto" w:fill="auto"/>
            <w:noWrap/>
            <w:vAlign w:val="center"/>
          </w:tcPr>
          <w:p w:rsidR="00117C2F" w:rsidRDefault="00F3246D">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117C2F">
        <w:trPr>
          <w:trHeight w:val="308"/>
        </w:trPr>
        <w:tc>
          <w:tcPr>
            <w:tcW w:w="14545" w:type="dxa"/>
            <w:gridSpan w:val="10"/>
            <w:tcBorders>
              <w:top w:val="nil"/>
              <w:left w:val="nil"/>
              <w:bottom w:val="nil"/>
              <w:right w:val="nil"/>
            </w:tcBorders>
            <w:shd w:val="clear" w:color="auto" w:fill="auto"/>
            <w:noWrap/>
            <w:vAlign w:val="center"/>
          </w:tcPr>
          <w:p w:rsidR="00117C2F" w:rsidRDefault="00F3246D">
            <w:pPr>
              <w:widowControl/>
              <w:jc w:val="left"/>
              <w:rPr>
                <w:rFonts w:ascii="宋体" w:hAnsi="宋体" w:cs="Arial"/>
                <w:color w:val="000000"/>
                <w:kern w:val="0"/>
                <w:sz w:val="22"/>
              </w:rPr>
            </w:pPr>
            <w:r>
              <w:rPr>
                <w:rFonts w:ascii="宋体" w:hAnsi="宋体" w:cs="Arial" w:hint="eastAsia"/>
                <w:color w:val="000000"/>
                <w:kern w:val="0"/>
                <w:sz w:val="22"/>
              </w:rPr>
              <w:t>注：本表反映部门本年度政府性基金预算财政拨款收入、支出及结转和结余情况。</w:t>
            </w:r>
          </w:p>
        </w:tc>
      </w:tr>
    </w:tbl>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sectPr w:rsidR="00117C2F">
          <w:pgSz w:w="16838" w:h="11906" w:orient="landscape"/>
          <w:pgMar w:top="851" w:right="1134" w:bottom="851" w:left="1134" w:header="720" w:footer="291" w:gutter="0"/>
          <w:pgNumType w:fmt="numberInDash"/>
          <w:cols w:space="720"/>
          <w:docGrid w:linePitch="312"/>
        </w:sect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117C2F">
      <w:pPr>
        <w:widowControl/>
        <w:jc w:val="left"/>
        <w:rPr>
          <w:rFonts w:ascii="黑体" w:eastAsia="黑体" w:hAnsi="黑体" w:cs="黑体"/>
          <w:sz w:val="32"/>
          <w:szCs w:val="32"/>
        </w:rPr>
      </w:pPr>
    </w:p>
    <w:p w:rsidR="00117C2F" w:rsidRDefault="00F3246D">
      <w:pPr>
        <w:jc w:val="center"/>
        <w:rPr>
          <w:rFonts w:ascii="黑体" w:eastAsia="黑体" w:hAnsi="黑体" w:cs="黑体"/>
          <w:sz w:val="48"/>
          <w:szCs w:val="48"/>
        </w:rPr>
      </w:pPr>
      <w:r>
        <w:rPr>
          <w:rFonts w:ascii="黑体" w:eastAsia="黑体" w:hAnsi="黑体" w:cs="黑体" w:hint="eastAsia"/>
          <w:sz w:val="48"/>
          <w:szCs w:val="48"/>
        </w:rPr>
        <w:t>第三部分</w:t>
      </w:r>
    </w:p>
    <w:p w:rsidR="00117C2F" w:rsidRDefault="00F3246D">
      <w:pPr>
        <w:jc w:val="center"/>
        <w:rPr>
          <w:rFonts w:ascii="黑体" w:eastAsia="黑体" w:hAnsi="黑体" w:cs="黑体"/>
          <w:sz w:val="48"/>
          <w:szCs w:val="48"/>
        </w:rPr>
      </w:pPr>
      <w:r>
        <w:rPr>
          <w:rFonts w:ascii="黑体" w:eastAsia="黑体" w:hAnsi="黑体" w:cs="黑体" w:hint="eastAsia"/>
          <w:sz w:val="48"/>
          <w:szCs w:val="48"/>
        </w:rPr>
        <w:t>2019</w:t>
      </w:r>
      <w:r>
        <w:rPr>
          <w:rFonts w:ascii="黑体" w:eastAsia="黑体" w:hAnsi="黑体" w:cs="黑体" w:hint="eastAsia"/>
          <w:sz w:val="48"/>
          <w:szCs w:val="48"/>
        </w:rPr>
        <w:t>年度部门决算情况说明</w:t>
      </w:r>
    </w:p>
    <w:p w:rsidR="00117C2F" w:rsidRDefault="00F3246D">
      <w:pPr>
        <w:widowControl/>
        <w:jc w:val="left"/>
        <w:rPr>
          <w:rFonts w:ascii="黑体" w:eastAsia="黑体" w:hAnsi="黑体" w:cs="黑体"/>
          <w:sz w:val="48"/>
          <w:szCs w:val="48"/>
        </w:rPr>
      </w:pPr>
      <w:r>
        <w:rPr>
          <w:rFonts w:ascii="黑体" w:eastAsia="黑体" w:hAnsi="黑体" w:cs="黑体"/>
          <w:sz w:val="48"/>
          <w:szCs w:val="48"/>
        </w:rPr>
        <w:br w:type="page"/>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lastRenderedPageBreak/>
        <w:t>一、收入支出决算总体情况说明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2019</w:t>
      </w:r>
      <w:r>
        <w:rPr>
          <w:rFonts w:ascii="仿宋_GB2312" w:eastAsia="仿宋_GB2312" w:cs="宋体" w:hint="eastAsia"/>
          <w:kern w:val="0"/>
          <w:sz w:val="32"/>
          <w:szCs w:val="32"/>
          <w:lang w:val="zh-CN"/>
        </w:rPr>
        <w:t>年度收入</w:t>
      </w:r>
      <w:r>
        <w:rPr>
          <w:rFonts w:ascii="仿宋_GB2312" w:eastAsia="仿宋_GB2312" w:cs="宋体" w:hint="eastAsia"/>
          <w:kern w:val="0"/>
          <w:sz w:val="32"/>
          <w:szCs w:val="32"/>
          <w:lang w:val="zh-CN"/>
        </w:rPr>
        <w:t>1779.88</w:t>
      </w:r>
      <w:r>
        <w:rPr>
          <w:rFonts w:ascii="仿宋_GB2312" w:eastAsia="仿宋_GB2312" w:cs="宋体" w:hint="eastAsia"/>
          <w:kern w:val="0"/>
          <w:sz w:val="32"/>
          <w:szCs w:val="32"/>
          <w:lang w:val="zh-CN"/>
        </w:rPr>
        <w:t>万元，支出</w:t>
      </w:r>
      <w:r>
        <w:rPr>
          <w:rFonts w:ascii="仿宋_GB2312" w:eastAsia="仿宋_GB2312" w:cs="宋体" w:hint="eastAsia"/>
          <w:kern w:val="0"/>
          <w:sz w:val="32"/>
          <w:szCs w:val="32"/>
          <w:lang w:val="zh-CN"/>
        </w:rPr>
        <w:t>1770.88</w:t>
      </w:r>
      <w:r>
        <w:rPr>
          <w:rFonts w:ascii="仿宋_GB2312" w:eastAsia="仿宋_GB2312" w:cs="宋体" w:hint="eastAsia"/>
          <w:kern w:val="0"/>
          <w:sz w:val="32"/>
          <w:szCs w:val="32"/>
          <w:lang w:val="zh-CN"/>
        </w:rPr>
        <w:t>万元，与上年度相比，收入减少</w:t>
      </w:r>
      <w:r>
        <w:rPr>
          <w:rFonts w:ascii="仿宋_GB2312" w:eastAsia="仿宋_GB2312" w:cs="宋体" w:hint="eastAsia"/>
          <w:kern w:val="0"/>
          <w:sz w:val="32"/>
          <w:szCs w:val="32"/>
          <w:lang w:val="zh-CN"/>
        </w:rPr>
        <w:t>411.24</w:t>
      </w:r>
      <w:r>
        <w:rPr>
          <w:rFonts w:ascii="仿宋_GB2312" w:eastAsia="仿宋_GB2312" w:cs="宋体" w:hint="eastAsia"/>
          <w:kern w:val="0"/>
          <w:sz w:val="32"/>
          <w:szCs w:val="32"/>
          <w:lang w:val="zh-CN"/>
        </w:rPr>
        <w:t>万元、支出减少</w:t>
      </w:r>
      <w:r>
        <w:rPr>
          <w:rFonts w:ascii="仿宋_GB2312" w:eastAsia="仿宋_GB2312" w:cs="宋体" w:hint="eastAsia"/>
          <w:kern w:val="0"/>
          <w:sz w:val="32"/>
          <w:szCs w:val="32"/>
          <w:lang w:val="zh-CN"/>
        </w:rPr>
        <w:t>420.24</w:t>
      </w:r>
      <w:r>
        <w:rPr>
          <w:rFonts w:ascii="仿宋_GB2312" w:eastAsia="仿宋_GB2312" w:cs="宋体" w:hint="eastAsia"/>
          <w:kern w:val="0"/>
          <w:sz w:val="32"/>
          <w:szCs w:val="32"/>
          <w:lang w:val="zh-CN"/>
        </w:rPr>
        <w:t>万元，分别降低</w:t>
      </w:r>
      <w:r>
        <w:rPr>
          <w:rFonts w:ascii="仿宋_GB2312" w:eastAsia="仿宋_GB2312" w:cs="宋体" w:hint="eastAsia"/>
          <w:kern w:val="0"/>
          <w:sz w:val="32"/>
          <w:szCs w:val="32"/>
          <w:lang w:val="zh-CN"/>
        </w:rPr>
        <w:t>18.77%</w:t>
      </w:r>
      <w:r>
        <w:rPr>
          <w:rFonts w:ascii="仿宋_GB2312" w:eastAsia="仿宋_GB2312" w:cs="宋体" w:hint="eastAsia"/>
          <w:kern w:val="0"/>
          <w:sz w:val="32"/>
          <w:szCs w:val="32"/>
          <w:lang w:val="zh-CN"/>
        </w:rPr>
        <w:t>和</w:t>
      </w:r>
      <w:r>
        <w:rPr>
          <w:rFonts w:ascii="仿宋_GB2312" w:eastAsia="仿宋_GB2312" w:cs="宋体" w:hint="eastAsia"/>
          <w:kern w:val="0"/>
          <w:sz w:val="32"/>
          <w:szCs w:val="32"/>
          <w:lang w:val="zh-CN"/>
        </w:rPr>
        <w:t>19.18%</w:t>
      </w:r>
      <w:r>
        <w:rPr>
          <w:rFonts w:ascii="仿宋_GB2312" w:eastAsia="仿宋_GB2312" w:cs="宋体" w:hint="eastAsia"/>
          <w:kern w:val="0"/>
          <w:sz w:val="32"/>
          <w:szCs w:val="32"/>
          <w:lang w:val="zh-CN"/>
        </w:rPr>
        <w:t>。主要原因是按照财政要求压减一般性支出等原因。</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二、收入决算情况说明</w:t>
      </w:r>
      <w:r>
        <w:rPr>
          <w:rFonts w:ascii="黑体" w:eastAsia="黑体" w:hAnsi="黑体" w:cs="宋体" w:hint="eastAsia"/>
          <w:kern w:val="0"/>
          <w:sz w:val="32"/>
          <w:szCs w:val="32"/>
          <w:lang w:val="zh-CN"/>
        </w:rPr>
        <w:tab/>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年度收入合计</w:t>
      </w:r>
      <w:r>
        <w:rPr>
          <w:rFonts w:ascii="仿宋_GB2312" w:eastAsia="仿宋_GB2312" w:cs="宋体"/>
          <w:kern w:val="0"/>
          <w:sz w:val="32"/>
          <w:szCs w:val="32"/>
          <w:lang w:val="zh-CN"/>
        </w:rPr>
        <w:t>1,779.88</w:t>
      </w:r>
      <w:r>
        <w:rPr>
          <w:rFonts w:ascii="仿宋_GB2312" w:eastAsia="仿宋_GB2312" w:cs="宋体" w:hint="eastAsia"/>
          <w:kern w:val="0"/>
          <w:sz w:val="32"/>
          <w:szCs w:val="32"/>
          <w:lang w:val="zh-CN"/>
        </w:rPr>
        <w:t>万元，其中：财政拨款收入</w:t>
      </w:r>
      <w:r>
        <w:rPr>
          <w:rFonts w:ascii="仿宋_GB2312" w:eastAsia="仿宋_GB2312" w:cs="宋体"/>
          <w:kern w:val="0"/>
          <w:sz w:val="32"/>
          <w:szCs w:val="32"/>
          <w:lang w:val="zh-CN"/>
        </w:rPr>
        <w:t>1,779.88</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100%</w:t>
      </w:r>
      <w:r>
        <w:rPr>
          <w:rFonts w:ascii="仿宋_GB2312" w:eastAsia="仿宋_GB2312" w:cs="宋体" w:hint="eastAsia"/>
          <w:kern w:val="0"/>
          <w:sz w:val="32"/>
          <w:szCs w:val="32"/>
          <w:lang w:val="zh-CN"/>
        </w:rPr>
        <w:t>；上级补助收入</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；事业收入</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；经营收入</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；附属单位上缴收入</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；其他收入</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三、支出决算情况说明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年度支出合计</w:t>
      </w:r>
      <w:r>
        <w:rPr>
          <w:rFonts w:ascii="仿宋_GB2312" w:eastAsia="仿宋_GB2312" w:cs="宋体"/>
          <w:kern w:val="0"/>
          <w:sz w:val="32"/>
          <w:szCs w:val="32"/>
          <w:lang w:val="zh-CN"/>
        </w:rPr>
        <w:t>1,770.88</w:t>
      </w:r>
      <w:r>
        <w:rPr>
          <w:rFonts w:ascii="仿宋_GB2312" w:eastAsia="仿宋_GB2312" w:cs="宋体" w:hint="eastAsia"/>
          <w:kern w:val="0"/>
          <w:sz w:val="32"/>
          <w:szCs w:val="32"/>
          <w:lang w:val="zh-CN"/>
        </w:rPr>
        <w:t>万元，其中：基本支出</w:t>
      </w:r>
      <w:r>
        <w:rPr>
          <w:rFonts w:ascii="仿宋_GB2312" w:eastAsia="仿宋_GB2312" w:cs="宋体"/>
          <w:kern w:val="0"/>
          <w:sz w:val="32"/>
          <w:szCs w:val="32"/>
          <w:lang w:val="zh-CN"/>
        </w:rPr>
        <w:t>881.61</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49.78%</w:t>
      </w:r>
      <w:r>
        <w:rPr>
          <w:rFonts w:ascii="仿宋_GB2312" w:eastAsia="仿宋_GB2312" w:cs="宋体" w:hint="eastAsia"/>
          <w:kern w:val="0"/>
          <w:sz w:val="32"/>
          <w:szCs w:val="32"/>
          <w:lang w:val="zh-CN"/>
        </w:rPr>
        <w:t>；项目支出</w:t>
      </w:r>
      <w:r>
        <w:rPr>
          <w:rFonts w:ascii="仿宋_GB2312" w:eastAsia="仿宋_GB2312" w:cs="宋体"/>
          <w:kern w:val="0"/>
          <w:sz w:val="32"/>
          <w:szCs w:val="32"/>
          <w:lang w:val="zh-CN"/>
        </w:rPr>
        <w:t>889.27</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50.22%</w:t>
      </w:r>
      <w:r>
        <w:rPr>
          <w:rFonts w:ascii="仿宋_GB2312" w:eastAsia="仿宋_GB2312" w:cs="宋体" w:hint="eastAsia"/>
          <w:kern w:val="0"/>
          <w:sz w:val="32"/>
          <w:szCs w:val="32"/>
          <w:lang w:val="zh-CN"/>
        </w:rPr>
        <w:t>；上缴上级支出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；经营支出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；对附属单位补助支出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四、财政拨款收入支出决算总体情况说明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年度财政拨款收、支总计均为</w:t>
      </w:r>
      <w:r>
        <w:rPr>
          <w:rFonts w:ascii="仿宋_GB2312" w:eastAsia="仿宋_GB2312" w:cs="宋体"/>
          <w:kern w:val="0"/>
          <w:sz w:val="32"/>
          <w:szCs w:val="32"/>
          <w:lang w:val="zh-CN"/>
        </w:rPr>
        <w:t>1,779.88</w:t>
      </w:r>
      <w:r>
        <w:rPr>
          <w:rFonts w:ascii="仿宋_GB2312" w:eastAsia="仿宋_GB2312" w:cs="宋体" w:hint="eastAsia"/>
          <w:kern w:val="0"/>
          <w:sz w:val="32"/>
          <w:szCs w:val="32"/>
          <w:lang w:val="zh-CN"/>
        </w:rPr>
        <w:t>万元。与上年度相比，财政拨款收、支总计各减少</w:t>
      </w:r>
      <w:r>
        <w:rPr>
          <w:rFonts w:ascii="仿宋_GB2312" w:eastAsia="仿宋_GB2312" w:cs="宋体"/>
          <w:kern w:val="0"/>
          <w:sz w:val="32"/>
          <w:szCs w:val="32"/>
          <w:lang w:val="zh-CN"/>
        </w:rPr>
        <w:t>411.23</w:t>
      </w:r>
      <w:r>
        <w:rPr>
          <w:rFonts w:ascii="仿宋_GB2312" w:eastAsia="仿宋_GB2312" w:cs="宋体" w:hint="eastAsia"/>
          <w:kern w:val="0"/>
          <w:sz w:val="32"/>
          <w:szCs w:val="32"/>
          <w:lang w:val="zh-CN"/>
        </w:rPr>
        <w:t>万元，下降</w:t>
      </w:r>
      <w:r>
        <w:rPr>
          <w:rFonts w:ascii="仿宋_GB2312" w:eastAsia="仿宋_GB2312" w:cs="宋体"/>
          <w:kern w:val="0"/>
          <w:sz w:val="32"/>
          <w:szCs w:val="32"/>
          <w:lang w:val="zh-CN"/>
        </w:rPr>
        <w:t>18.77%</w:t>
      </w:r>
      <w:r>
        <w:rPr>
          <w:rFonts w:ascii="仿宋_GB2312" w:eastAsia="仿宋_GB2312" w:cs="宋体" w:hint="eastAsia"/>
          <w:kern w:val="0"/>
          <w:sz w:val="32"/>
          <w:szCs w:val="32"/>
          <w:lang w:val="zh-CN"/>
        </w:rPr>
        <w:t>。主要原因是压减一般性支出和项目类经费相应减少。</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五、一般公共预算财政拨款支出决算情况说明</w:t>
      </w:r>
    </w:p>
    <w:p w:rsidR="00117C2F" w:rsidRDefault="00F3246D" w:rsidP="00A63715">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年度一般公共预算财政拨款支出</w:t>
      </w:r>
      <w:r>
        <w:rPr>
          <w:rFonts w:ascii="仿宋_GB2312" w:eastAsia="仿宋_GB2312" w:cs="宋体"/>
          <w:kern w:val="0"/>
          <w:sz w:val="32"/>
          <w:szCs w:val="32"/>
          <w:lang w:val="zh-CN"/>
        </w:rPr>
        <w:t>1,770.88</w:t>
      </w:r>
      <w:r>
        <w:rPr>
          <w:rFonts w:ascii="仿宋_GB2312" w:eastAsia="仿宋_GB2312" w:cs="宋体" w:hint="eastAsia"/>
          <w:kern w:val="0"/>
          <w:sz w:val="32"/>
          <w:szCs w:val="32"/>
          <w:lang w:val="zh-CN"/>
        </w:rPr>
        <w:t>万元，占本年支出合计的</w:t>
      </w:r>
      <w:r>
        <w:rPr>
          <w:rFonts w:ascii="仿宋_GB2312" w:eastAsia="仿宋_GB2312" w:cs="宋体"/>
          <w:kern w:val="0"/>
          <w:sz w:val="32"/>
          <w:szCs w:val="32"/>
          <w:lang w:val="zh-CN"/>
        </w:rPr>
        <w:t>100%</w:t>
      </w:r>
      <w:r>
        <w:rPr>
          <w:rFonts w:ascii="仿宋_GB2312" w:eastAsia="仿宋_GB2312" w:cs="宋体" w:hint="eastAsia"/>
          <w:kern w:val="0"/>
          <w:sz w:val="32"/>
          <w:szCs w:val="32"/>
          <w:lang w:val="zh-CN"/>
        </w:rPr>
        <w:t>。与上年度相比，一般公共预算财政拨款支出减少</w:t>
      </w:r>
      <w:r>
        <w:rPr>
          <w:rFonts w:ascii="仿宋_GB2312" w:eastAsia="仿宋_GB2312" w:cs="宋体"/>
          <w:kern w:val="0"/>
          <w:sz w:val="32"/>
          <w:szCs w:val="32"/>
          <w:lang w:val="zh-CN"/>
        </w:rPr>
        <w:t>420.23</w:t>
      </w:r>
      <w:r>
        <w:rPr>
          <w:rFonts w:ascii="仿宋_GB2312" w:eastAsia="仿宋_GB2312" w:cs="宋体" w:hint="eastAsia"/>
          <w:kern w:val="0"/>
          <w:sz w:val="32"/>
          <w:szCs w:val="32"/>
          <w:lang w:val="zh-CN"/>
        </w:rPr>
        <w:t>万元，下降</w:t>
      </w:r>
      <w:r>
        <w:rPr>
          <w:rFonts w:ascii="仿宋_GB2312" w:eastAsia="仿宋_GB2312" w:cs="宋体"/>
          <w:kern w:val="0"/>
          <w:sz w:val="32"/>
          <w:szCs w:val="32"/>
          <w:lang w:val="zh-CN"/>
        </w:rPr>
        <w:t>19.1</w:t>
      </w:r>
      <w:r>
        <w:rPr>
          <w:rFonts w:ascii="仿宋_GB2312" w:eastAsia="仿宋_GB2312" w:cs="宋体" w:hint="eastAsia"/>
          <w:kern w:val="0"/>
          <w:sz w:val="32"/>
          <w:szCs w:val="32"/>
          <w:lang w:val="zh-CN"/>
        </w:rPr>
        <w:t>8</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。主要原因是压减一般性经费</w:t>
      </w:r>
      <w:r>
        <w:rPr>
          <w:rFonts w:ascii="仿宋_GB2312" w:eastAsia="仿宋_GB2312" w:cs="宋体" w:hint="eastAsia"/>
          <w:kern w:val="0"/>
          <w:sz w:val="32"/>
          <w:szCs w:val="32"/>
          <w:lang w:val="zh-CN"/>
        </w:rPr>
        <w:lastRenderedPageBreak/>
        <w:t>支出和减少项目类经费。</w:t>
      </w:r>
    </w:p>
    <w:p w:rsidR="00117C2F" w:rsidRDefault="00F3246D" w:rsidP="00A63715">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楷体_GB2312" w:eastAsia="楷体_GB2312" w:hAnsi="楷体_GB2312" w:cs="楷体_GB2312" w:hint="eastAsia"/>
          <w:b/>
          <w:bCs/>
          <w:sz w:val="32"/>
          <w:szCs w:val="32"/>
          <w:lang w:val="zh-CN"/>
        </w:rPr>
        <w:t>（二）结构情况。</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年度一般公共预算财政拨款支出</w:t>
      </w:r>
      <w:r>
        <w:rPr>
          <w:rFonts w:ascii="仿宋_GB2312" w:eastAsia="仿宋_GB2312" w:cs="宋体"/>
          <w:kern w:val="0"/>
          <w:sz w:val="32"/>
          <w:szCs w:val="32"/>
          <w:lang w:val="zh-CN"/>
        </w:rPr>
        <w:t>1,770.88</w:t>
      </w:r>
      <w:r>
        <w:rPr>
          <w:rFonts w:ascii="仿宋_GB2312" w:eastAsia="仿宋_GB2312" w:cs="宋体" w:hint="eastAsia"/>
          <w:kern w:val="0"/>
          <w:sz w:val="32"/>
          <w:szCs w:val="32"/>
          <w:lang w:val="zh-CN"/>
        </w:rPr>
        <w:t>万元，主要用于以下方面：一般公共服务（类）支出</w:t>
      </w:r>
      <w:r>
        <w:rPr>
          <w:rFonts w:ascii="仿宋_GB2312" w:eastAsia="仿宋_GB2312" w:cs="宋体" w:hint="eastAsia"/>
          <w:kern w:val="0"/>
          <w:sz w:val="32"/>
          <w:szCs w:val="32"/>
          <w:lang w:val="zh-CN"/>
        </w:rPr>
        <w:t>1490.66</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84.18</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；公共安全支出</w:t>
      </w:r>
      <w:r>
        <w:rPr>
          <w:rFonts w:ascii="仿宋_GB2312" w:eastAsia="仿宋_GB2312" w:cs="宋体" w:hint="eastAsia"/>
          <w:kern w:val="0"/>
          <w:sz w:val="32"/>
          <w:szCs w:val="32"/>
          <w:lang w:val="zh-CN"/>
        </w:rPr>
        <w:t>20.93</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1.18</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；教育培训支出</w:t>
      </w:r>
      <w:r>
        <w:rPr>
          <w:rFonts w:ascii="仿宋_GB2312" w:eastAsia="仿宋_GB2312" w:cs="宋体" w:hint="eastAsia"/>
          <w:kern w:val="0"/>
          <w:sz w:val="32"/>
          <w:szCs w:val="32"/>
          <w:lang w:val="zh-CN"/>
        </w:rPr>
        <w:t>22.81</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1.28%</w:t>
      </w:r>
      <w:r>
        <w:rPr>
          <w:rFonts w:ascii="仿宋_GB2312" w:eastAsia="仿宋_GB2312" w:cs="宋体" w:hint="eastAsia"/>
          <w:kern w:val="0"/>
          <w:sz w:val="32"/>
          <w:szCs w:val="32"/>
          <w:lang w:val="zh-CN"/>
        </w:rPr>
        <w:t>；文化体育与传媒支出</w:t>
      </w:r>
      <w:r>
        <w:rPr>
          <w:rFonts w:ascii="仿宋_GB2312" w:eastAsia="仿宋_GB2312" w:cs="宋体" w:hint="eastAsia"/>
          <w:kern w:val="0"/>
          <w:sz w:val="32"/>
          <w:szCs w:val="32"/>
          <w:lang w:val="zh-CN"/>
        </w:rPr>
        <w:t>43.29</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2.44%</w:t>
      </w:r>
      <w:r>
        <w:rPr>
          <w:rFonts w:ascii="仿宋_GB2312" w:eastAsia="仿宋_GB2312" w:cs="宋体" w:hint="eastAsia"/>
          <w:kern w:val="0"/>
          <w:sz w:val="32"/>
          <w:szCs w:val="32"/>
          <w:lang w:val="zh-CN"/>
        </w:rPr>
        <w:t>；社会保障和就业支出</w:t>
      </w:r>
      <w:r>
        <w:rPr>
          <w:rFonts w:ascii="仿宋_GB2312" w:eastAsia="仿宋_GB2312" w:cs="宋体" w:hint="eastAsia"/>
          <w:kern w:val="0"/>
          <w:sz w:val="32"/>
          <w:szCs w:val="32"/>
          <w:lang w:val="zh-CN"/>
        </w:rPr>
        <w:t>127.</w:t>
      </w:r>
      <w:r>
        <w:rPr>
          <w:rFonts w:ascii="仿宋_GB2312" w:eastAsia="仿宋_GB2312" w:cs="宋体" w:hint="eastAsia"/>
          <w:kern w:val="0"/>
          <w:sz w:val="32"/>
          <w:szCs w:val="32"/>
          <w:lang w:val="zh-CN"/>
        </w:rPr>
        <w:t>56</w:t>
      </w:r>
      <w:r>
        <w:rPr>
          <w:rFonts w:ascii="仿宋_GB2312" w:eastAsia="仿宋_GB2312" w:cs="宋体" w:hint="eastAsia"/>
          <w:kern w:val="0"/>
          <w:sz w:val="32"/>
          <w:szCs w:val="32"/>
          <w:lang w:val="zh-CN"/>
        </w:rPr>
        <w:t>万元，</w:t>
      </w:r>
      <w:r>
        <w:rPr>
          <w:rFonts w:ascii="仿宋_GB2312" w:eastAsia="仿宋_GB2312" w:cs="宋体" w:hint="eastAsia"/>
          <w:kern w:val="0"/>
          <w:sz w:val="32"/>
          <w:szCs w:val="32"/>
          <w:lang w:val="zh-CN"/>
        </w:rPr>
        <w:t>7.2%</w:t>
      </w:r>
      <w:r>
        <w:rPr>
          <w:rFonts w:ascii="仿宋_GB2312" w:eastAsia="仿宋_GB2312" w:cs="宋体" w:hint="eastAsia"/>
          <w:kern w:val="0"/>
          <w:sz w:val="32"/>
          <w:szCs w:val="32"/>
          <w:lang w:val="zh-CN"/>
        </w:rPr>
        <w:t>；医疗卫生与计划生育支出</w:t>
      </w:r>
      <w:r>
        <w:rPr>
          <w:rFonts w:ascii="仿宋_GB2312" w:eastAsia="仿宋_GB2312" w:cs="宋体" w:hint="eastAsia"/>
          <w:kern w:val="0"/>
          <w:sz w:val="32"/>
          <w:szCs w:val="32"/>
          <w:lang w:val="zh-CN"/>
        </w:rPr>
        <w:t>42.63</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2.41%</w:t>
      </w:r>
      <w:r>
        <w:rPr>
          <w:rFonts w:ascii="仿宋_GB2312" w:eastAsia="仿宋_GB2312" w:cs="宋体" w:hint="eastAsia"/>
          <w:kern w:val="0"/>
          <w:sz w:val="32"/>
          <w:szCs w:val="32"/>
          <w:lang w:val="zh-CN"/>
        </w:rPr>
        <w:t>；城乡社区支出</w:t>
      </w:r>
      <w:r>
        <w:rPr>
          <w:rFonts w:ascii="仿宋_GB2312" w:eastAsia="仿宋_GB2312" w:cs="宋体" w:hint="eastAsia"/>
          <w:kern w:val="0"/>
          <w:sz w:val="32"/>
          <w:szCs w:val="32"/>
          <w:lang w:val="zh-CN"/>
        </w:rPr>
        <w:t>20</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1.13%</w:t>
      </w:r>
      <w:r>
        <w:rPr>
          <w:rFonts w:ascii="仿宋_GB2312" w:eastAsia="仿宋_GB2312" w:cs="宋体" w:hint="eastAsia"/>
          <w:kern w:val="0"/>
          <w:sz w:val="32"/>
          <w:szCs w:val="32"/>
          <w:lang w:val="zh-CN"/>
        </w:rPr>
        <w:t>；农林水支出</w:t>
      </w: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万元，占</w:t>
      </w:r>
      <w:r>
        <w:rPr>
          <w:rFonts w:ascii="仿宋_GB2312" w:eastAsia="仿宋_GB2312" w:cs="宋体" w:hint="eastAsia"/>
          <w:kern w:val="0"/>
          <w:sz w:val="32"/>
          <w:szCs w:val="32"/>
          <w:lang w:val="zh-CN"/>
        </w:rPr>
        <w:t>0.017%</w:t>
      </w:r>
      <w:r>
        <w:rPr>
          <w:rFonts w:ascii="仿宋_GB2312" w:eastAsia="仿宋_GB2312" w:cs="宋体" w:hint="eastAsia"/>
          <w:kern w:val="0"/>
          <w:sz w:val="32"/>
          <w:szCs w:val="32"/>
          <w:lang w:val="zh-CN"/>
        </w:rPr>
        <w:t>；</w:t>
      </w:r>
    </w:p>
    <w:p w:rsidR="00117C2F" w:rsidRDefault="00F3246D" w:rsidP="00A63715">
      <w:pPr>
        <w:autoSpaceDE w:val="0"/>
        <w:autoSpaceDN w:val="0"/>
        <w:adjustRightInd w:val="0"/>
        <w:spacing w:line="570" w:lineRule="exact"/>
        <w:ind w:firstLineChars="200" w:firstLine="640"/>
        <w:jc w:val="left"/>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（三）具体情况。</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年度一般公共预算财政拨款支出年初预算为</w:t>
      </w:r>
      <w:r>
        <w:rPr>
          <w:rFonts w:ascii="仿宋_GB2312" w:eastAsia="仿宋_GB2312" w:cs="宋体"/>
          <w:kern w:val="0"/>
          <w:sz w:val="32"/>
          <w:szCs w:val="32"/>
          <w:lang w:val="zh-CN"/>
        </w:rPr>
        <w:t>1,448.51</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1,770.88</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122.2</w:t>
      </w:r>
      <w:r>
        <w:rPr>
          <w:rFonts w:ascii="仿宋_GB2312" w:eastAsia="仿宋_GB2312" w:cs="宋体" w:hint="eastAsia"/>
          <w:kern w:val="0"/>
          <w:sz w:val="32"/>
          <w:szCs w:val="32"/>
          <w:lang w:val="zh-CN"/>
        </w:rPr>
        <w:t>6</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。其中</w:t>
      </w:r>
      <w:r>
        <w:rPr>
          <w:rFonts w:ascii="仿宋_GB2312" w:eastAsia="仿宋_GB2312" w:hAnsi="仿宋_GB2312" w:cs="仿宋_GB2312" w:hint="eastAsia"/>
          <w:sz w:val="32"/>
          <w:szCs w:val="32"/>
        </w:rPr>
        <w:t>决算数与年初预算数存在差异的主要原因是追加的部分项目经费</w:t>
      </w:r>
      <w:r>
        <w:rPr>
          <w:rFonts w:ascii="仿宋_GB2312" w:eastAsia="仿宋_GB2312" w:cs="宋体" w:hint="eastAsia"/>
          <w:kern w:val="0"/>
          <w:sz w:val="32"/>
          <w:szCs w:val="32"/>
          <w:lang w:val="zh-CN"/>
        </w:rPr>
        <w:t>未在年初预算体现，如：“百城提质”宣传经费、平安建设奖等</w:t>
      </w:r>
      <w:r>
        <w:rPr>
          <w:rFonts w:ascii="仿宋_GB2312" w:eastAsia="仿宋_GB2312" w:hAnsi="仿宋_GB2312" w:cs="仿宋_GB2312" w:hint="eastAsia"/>
          <w:sz w:val="32"/>
          <w:szCs w:val="32"/>
        </w:rPr>
        <w:t>。</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w:t>
      </w:r>
      <w:r>
        <w:rPr>
          <w:rFonts w:ascii="仿宋_GB2312" w:eastAsia="仿宋_GB2312" w:hAnsi="仿宋_GB2312" w:cs="仿宋_GB2312" w:hint="eastAsia"/>
          <w:b/>
          <w:bCs/>
          <w:sz w:val="32"/>
          <w:szCs w:val="32"/>
          <w:lang w:val="zh-CN"/>
        </w:rPr>
        <w:t>．一般公共服务支出（类）宣传事务（款）</w:t>
      </w:r>
      <w:r>
        <w:rPr>
          <w:rFonts w:ascii="仿宋_GB2312" w:eastAsia="仿宋_GB2312" w:hAnsi="仿宋_GB2312" w:cs="仿宋_GB2312" w:hint="eastAsia"/>
          <w:b/>
          <w:bCs/>
          <w:sz w:val="32"/>
          <w:szCs w:val="32"/>
          <w:lang w:val="zh-CN"/>
        </w:rPr>
        <w:t xml:space="preserve"> </w:t>
      </w:r>
      <w:r>
        <w:rPr>
          <w:rFonts w:ascii="仿宋_GB2312" w:eastAsia="仿宋_GB2312" w:hAnsi="仿宋_GB2312" w:cs="仿宋_GB2312" w:hint="eastAsia"/>
          <w:b/>
          <w:bCs/>
          <w:sz w:val="32"/>
          <w:szCs w:val="32"/>
          <w:lang w:val="zh-CN"/>
        </w:rPr>
        <w:t>行政运行（项）。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620.81</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690.49</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111.22</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。决算数与年初预算数存在差异的主要原因是人员增加和工资调整等原因。</w:t>
      </w:r>
    </w:p>
    <w:p w:rsidR="00117C2F" w:rsidRDefault="00F3246D">
      <w:pPr>
        <w:autoSpaceDE w:val="0"/>
        <w:autoSpaceDN w:val="0"/>
        <w:adjustRightInd w:val="0"/>
        <w:spacing w:line="570" w:lineRule="exact"/>
        <w:ind w:firstLineChars="200" w:firstLine="643"/>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2</w:t>
      </w:r>
      <w:r>
        <w:rPr>
          <w:rFonts w:ascii="仿宋_GB2312" w:eastAsia="仿宋_GB2312" w:hAnsi="仿宋_GB2312" w:cs="仿宋_GB2312" w:hint="eastAsia"/>
          <w:b/>
          <w:bCs/>
          <w:sz w:val="32"/>
          <w:szCs w:val="32"/>
          <w:lang w:val="zh-CN"/>
        </w:rPr>
        <w:t>．一般公共服务支出（类）宣传事务（款）其他宣传事务支出（项）。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651.8</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800.16</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122.76</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。决算数与年初预算数存在差异的主要原因是文化事业建设费等支出未在年初预算体现。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3</w:t>
      </w:r>
      <w:r>
        <w:rPr>
          <w:rFonts w:ascii="仿宋_GB2312" w:eastAsia="仿宋_GB2312" w:hAnsi="仿宋_GB2312" w:cs="仿宋_GB2312" w:hint="eastAsia"/>
          <w:b/>
          <w:bCs/>
          <w:sz w:val="32"/>
          <w:szCs w:val="32"/>
          <w:lang w:val="zh-CN"/>
        </w:rPr>
        <w:t>．公共安全支出（类）其他公共安全支出（款）其他公共</w:t>
      </w:r>
      <w:r>
        <w:rPr>
          <w:rFonts w:ascii="仿宋_GB2312" w:eastAsia="仿宋_GB2312" w:hAnsi="仿宋_GB2312" w:cs="仿宋_GB2312" w:hint="eastAsia"/>
          <w:b/>
          <w:bCs/>
          <w:sz w:val="32"/>
          <w:szCs w:val="32"/>
          <w:lang w:val="zh-CN"/>
        </w:rPr>
        <w:lastRenderedPageBreak/>
        <w:t>安全支出（项）。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20.93</w:t>
      </w:r>
      <w:r>
        <w:rPr>
          <w:rFonts w:ascii="仿宋_GB2312" w:eastAsia="仿宋_GB2312" w:cs="宋体" w:hint="eastAsia"/>
          <w:color w:val="000000" w:themeColor="text1"/>
          <w:kern w:val="0"/>
          <w:sz w:val="32"/>
          <w:szCs w:val="32"/>
          <w:lang w:val="zh-CN"/>
        </w:rPr>
        <w:t>万元。决算数与年初预算数存在差异的主要原因是平安建设奖励资金由其他单位编列预算，未在我单位预算中体现。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4</w:t>
      </w:r>
      <w:r>
        <w:rPr>
          <w:rFonts w:ascii="仿宋_GB2312" w:eastAsia="仿宋_GB2312" w:hAnsi="仿宋_GB2312" w:cs="仿宋_GB2312" w:hint="eastAsia"/>
          <w:b/>
          <w:bCs/>
          <w:sz w:val="32"/>
          <w:szCs w:val="32"/>
          <w:lang w:val="zh-CN"/>
        </w:rPr>
        <w:t>．教育支出（类）教育支出（款）培训支出（项）。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2.85</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22.81</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800.35</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。决算数与年初预算数存在差异的主要原因是该培训费中的</w:t>
      </w:r>
      <w:r>
        <w:rPr>
          <w:rFonts w:ascii="仿宋_GB2312" w:eastAsia="仿宋_GB2312" w:cs="宋体" w:hint="eastAsia"/>
          <w:color w:val="000000" w:themeColor="text1"/>
          <w:kern w:val="0"/>
          <w:sz w:val="32"/>
          <w:szCs w:val="32"/>
          <w:lang w:val="zh-CN"/>
        </w:rPr>
        <w:t>20</w:t>
      </w:r>
      <w:r>
        <w:rPr>
          <w:rFonts w:ascii="仿宋_GB2312" w:eastAsia="仿宋_GB2312" w:cs="宋体" w:hint="eastAsia"/>
          <w:color w:val="000000" w:themeColor="text1"/>
          <w:kern w:val="0"/>
          <w:sz w:val="32"/>
          <w:szCs w:val="32"/>
          <w:lang w:val="zh-CN"/>
        </w:rPr>
        <w:t>万元由文化事业建设费调整安排，其支出在年初预算编列时未能体现。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5</w:t>
      </w:r>
      <w:r>
        <w:rPr>
          <w:rFonts w:ascii="仿宋_GB2312" w:eastAsia="仿宋_GB2312" w:hAnsi="仿宋_GB2312" w:cs="仿宋_GB2312" w:hint="eastAsia"/>
          <w:b/>
          <w:bCs/>
          <w:sz w:val="32"/>
          <w:szCs w:val="32"/>
          <w:lang w:val="zh-CN"/>
        </w:rPr>
        <w:t>．文化旅游体育与传媒支出（类）文化和旅游（款）文化和旅游市场管理（项）。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3.29</w:t>
      </w:r>
      <w:r>
        <w:rPr>
          <w:rFonts w:ascii="仿宋_GB2312" w:eastAsia="仿宋_GB2312" w:cs="宋体" w:hint="eastAsia"/>
          <w:color w:val="000000" w:themeColor="text1"/>
          <w:kern w:val="0"/>
          <w:sz w:val="32"/>
          <w:szCs w:val="32"/>
          <w:lang w:val="zh-CN"/>
        </w:rPr>
        <w:t>万元。决算数与年初预算数存在差异的主要原因是该部分资金为机构改革后随职责划转的项目资金，其支出在年初预算编列时未能体现。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6</w:t>
      </w:r>
      <w:r>
        <w:rPr>
          <w:rFonts w:ascii="仿宋_GB2312" w:eastAsia="仿宋_GB2312" w:hAnsi="仿宋_GB2312" w:cs="仿宋_GB2312" w:hint="eastAsia"/>
          <w:b/>
          <w:bCs/>
          <w:sz w:val="32"/>
          <w:szCs w:val="32"/>
          <w:lang w:val="zh-CN"/>
        </w:rPr>
        <w:t>．文化旅游体育与传媒支出（类）文化和旅游（款）其他文化和旅游支出（项）。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40</w:t>
      </w:r>
      <w:r>
        <w:rPr>
          <w:rFonts w:ascii="仿宋_GB2312" w:eastAsia="仿宋_GB2312" w:cs="宋体" w:hint="eastAsia"/>
          <w:color w:val="000000" w:themeColor="text1"/>
          <w:kern w:val="0"/>
          <w:sz w:val="32"/>
          <w:szCs w:val="32"/>
          <w:lang w:val="zh-CN"/>
        </w:rPr>
        <w:t>万元。决算数与年初预算数存在差异的主要原因是该部分资金为上级拨付的中原文化大舞台专项资金，其年初预算不在我单位体现。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7</w:t>
      </w:r>
      <w:r>
        <w:rPr>
          <w:rFonts w:ascii="仿宋_GB2312" w:eastAsia="仿宋_GB2312" w:hAnsi="仿宋_GB2312" w:cs="仿宋_GB2312" w:hint="eastAsia"/>
          <w:b/>
          <w:bCs/>
          <w:sz w:val="32"/>
          <w:szCs w:val="32"/>
          <w:lang w:val="zh-CN"/>
        </w:rPr>
        <w:t>．文化旅游体育与传媒支出（类）新闻出版电影（款）</w:t>
      </w:r>
      <w:r>
        <w:rPr>
          <w:rFonts w:ascii="仿宋_GB2312" w:eastAsia="仿宋_GB2312" w:hAnsi="仿宋_GB2312" w:cs="仿宋_GB2312" w:hint="eastAsia"/>
          <w:b/>
          <w:bCs/>
          <w:sz w:val="32"/>
          <w:szCs w:val="32"/>
          <w:lang w:val="zh-CN"/>
        </w:rPr>
        <w:t xml:space="preserve">  </w:t>
      </w:r>
      <w:r>
        <w:rPr>
          <w:rFonts w:ascii="仿宋_GB2312" w:eastAsia="仿宋_GB2312" w:hAnsi="仿宋_GB2312" w:cs="仿宋_GB2312" w:hint="eastAsia"/>
          <w:b/>
          <w:bCs/>
          <w:sz w:val="32"/>
          <w:szCs w:val="32"/>
          <w:lang w:val="zh-CN"/>
        </w:rPr>
        <w:t>其他新闻出版电影支出（项）。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9</w:t>
      </w:r>
      <w:r>
        <w:rPr>
          <w:rFonts w:ascii="仿宋_GB2312" w:eastAsia="仿宋_GB2312" w:cs="宋体" w:hint="eastAsia"/>
          <w:color w:val="000000" w:themeColor="text1"/>
          <w:kern w:val="0"/>
          <w:sz w:val="32"/>
          <w:szCs w:val="32"/>
          <w:lang w:val="zh-CN"/>
        </w:rPr>
        <w:t>万元。决算数与年初</w:t>
      </w:r>
      <w:r>
        <w:rPr>
          <w:rFonts w:ascii="仿宋_GB2312" w:eastAsia="仿宋_GB2312" w:cs="宋体" w:hint="eastAsia"/>
          <w:color w:val="000000" w:themeColor="text1"/>
          <w:kern w:val="0"/>
          <w:sz w:val="32"/>
          <w:szCs w:val="32"/>
          <w:lang w:val="zh-CN"/>
        </w:rPr>
        <w:t>预算数存在差异的主要原因是该部分资金为机构改革后上级奖励扶持资金，其年初预算不在我单位体现。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8</w:t>
      </w:r>
      <w:r>
        <w:rPr>
          <w:rFonts w:ascii="仿宋_GB2312" w:eastAsia="仿宋_GB2312" w:hAnsi="仿宋_GB2312" w:cs="仿宋_GB2312" w:hint="eastAsia"/>
          <w:b/>
          <w:bCs/>
          <w:sz w:val="32"/>
          <w:szCs w:val="32"/>
          <w:lang w:val="zh-CN"/>
        </w:rPr>
        <w:t>．社会保障和就业支出（类）行政事业单位离退休（款）</w:t>
      </w:r>
      <w:r>
        <w:rPr>
          <w:rFonts w:ascii="仿宋_GB2312" w:eastAsia="仿宋_GB2312" w:hAnsi="仿宋_GB2312" w:cs="仿宋_GB2312" w:hint="eastAsia"/>
          <w:b/>
          <w:bCs/>
          <w:sz w:val="32"/>
          <w:szCs w:val="32"/>
          <w:lang w:val="zh-CN"/>
        </w:rPr>
        <w:t xml:space="preserve">  </w:t>
      </w:r>
      <w:r>
        <w:rPr>
          <w:rFonts w:ascii="仿宋_GB2312" w:eastAsia="仿宋_GB2312" w:hAnsi="仿宋_GB2312" w:cs="仿宋_GB2312" w:hint="eastAsia"/>
          <w:b/>
          <w:bCs/>
          <w:sz w:val="32"/>
          <w:szCs w:val="32"/>
          <w:lang w:val="zh-CN"/>
        </w:rPr>
        <w:t>归口管理的行政单位离退休（项）。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74.28</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74.16</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99.84</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w:t>
      </w:r>
      <w:r>
        <w:rPr>
          <w:rFonts w:ascii="仿宋_GB2312" w:eastAsia="仿宋_GB2312" w:cs="宋体" w:hint="eastAsia"/>
          <w:color w:val="000000" w:themeColor="text1"/>
          <w:kern w:val="0"/>
          <w:sz w:val="32"/>
          <w:szCs w:val="32"/>
          <w:lang w:val="zh-CN"/>
        </w:rPr>
        <w:lastRenderedPageBreak/>
        <w:t>算数存在差异的主要原因是退离休人员工资调整和人员变化。</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9</w:t>
      </w:r>
      <w:r>
        <w:rPr>
          <w:rFonts w:ascii="仿宋_GB2312" w:eastAsia="仿宋_GB2312" w:hAnsi="仿宋_GB2312" w:cs="仿宋_GB2312" w:hint="eastAsia"/>
          <w:b/>
          <w:bCs/>
          <w:sz w:val="32"/>
          <w:szCs w:val="32"/>
          <w:lang w:val="zh-CN"/>
        </w:rPr>
        <w:t>．社会保障和就业支出（类）行政事业单位离退休（款）</w:t>
      </w:r>
      <w:r>
        <w:rPr>
          <w:rFonts w:ascii="仿宋_GB2312" w:eastAsia="仿宋_GB2312" w:hAnsi="仿宋_GB2312" w:cs="仿宋_GB2312" w:hint="eastAsia"/>
          <w:b/>
          <w:bCs/>
          <w:sz w:val="32"/>
          <w:szCs w:val="32"/>
          <w:lang w:val="zh-CN"/>
        </w:rPr>
        <w:t xml:space="preserve">  </w:t>
      </w:r>
      <w:r>
        <w:rPr>
          <w:rFonts w:ascii="仿宋_GB2312" w:eastAsia="仿宋_GB2312" w:hAnsi="仿宋_GB2312" w:cs="仿宋_GB2312" w:hint="eastAsia"/>
          <w:b/>
          <w:bCs/>
          <w:sz w:val="32"/>
          <w:szCs w:val="32"/>
          <w:lang w:val="zh-CN"/>
        </w:rPr>
        <w:t>机关事业单位基本养老保险缴费支出（项）。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52.83</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50.42</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95.44</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w:t>
      </w:r>
      <w:r>
        <w:rPr>
          <w:rFonts w:ascii="仿宋_GB2312" w:eastAsia="仿宋_GB2312" w:cs="宋体" w:hint="eastAsia"/>
          <w:color w:val="000000" w:themeColor="text1"/>
          <w:kern w:val="0"/>
          <w:sz w:val="32"/>
          <w:szCs w:val="32"/>
          <w:lang w:val="zh-CN"/>
        </w:rPr>
        <w:t>数与年初预算数存在差异的主要原因是人员变化导致的养老支出数据差。</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10</w:t>
      </w:r>
      <w:r>
        <w:rPr>
          <w:rFonts w:ascii="仿宋_GB2312" w:eastAsia="仿宋_GB2312" w:hAnsi="仿宋_GB2312" w:cs="仿宋_GB2312" w:hint="eastAsia"/>
          <w:b/>
          <w:bCs/>
          <w:sz w:val="32"/>
          <w:szCs w:val="32"/>
          <w:lang w:val="zh-CN"/>
        </w:rPr>
        <w:t>．社会保障和就业支出（类）抚恤（款）死亡抚恤（项）。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1.53</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1.52</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99.35</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。决算数与年初预算数仅存在微小差异。</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11</w:t>
      </w:r>
      <w:r>
        <w:rPr>
          <w:rFonts w:ascii="仿宋_GB2312" w:eastAsia="仿宋_GB2312" w:hAnsi="仿宋_GB2312" w:cs="仿宋_GB2312" w:hint="eastAsia"/>
          <w:b/>
          <w:bCs/>
          <w:sz w:val="32"/>
          <w:szCs w:val="32"/>
          <w:lang w:val="zh-CN"/>
        </w:rPr>
        <w:t>．社会保障和就业支出（类）其他社会保障和就业支出（款）</w:t>
      </w:r>
      <w:r>
        <w:rPr>
          <w:rFonts w:ascii="仿宋_GB2312" w:eastAsia="仿宋_GB2312" w:hAnsi="仿宋_GB2312" w:cs="仿宋_GB2312" w:hint="eastAsia"/>
          <w:b/>
          <w:bCs/>
          <w:sz w:val="32"/>
          <w:szCs w:val="32"/>
          <w:lang w:val="zh-CN"/>
        </w:rPr>
        <w:t xml:space="preserve">  </w:t>
      </w:r>
      <w:r>
        <w:rPr>
          <w:rFonts w:ascii="仿宋_GB2312" w:eastAsia="仿宋_GB2312" w:hAnsi="仿宋_GB2312" w:cs="仿宋_GB2312" w:hint="eastAsia"/>
          <w:b/>
          <w:bCs/>
          <w:sz w:val="32"/>
          <w:szCs w:val="32"/>
          <w:lang w:val="zh-CN"/>
        </w:rPr>
        <w:t>其他社会保障和就业支出（项）。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1.37</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1.45</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107.4</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。决算数与年初预算数存在差异的主要原因是生育、工伤保险缴费基数变化和人员变化等原因。</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12</w:t>
      </w:r>
      <w:r>
        <w:rPr>
          <w:rFonts w:ascii="仿宋_GB2312" w:eastAsia="仿宋_GB2312" w:hAnsi="仿宋_GB2312" w:cs="仿宋_GB2312" w:hint="eastAsia"/>
          <w:b/>
          <w:bCs/>
          <w:sz w:val="32"/>
          <w:szCs w:val="32"/>
          <w:lang w:val="zh-CN"/>
        </w:rPr>
        <w:t>．卫生健康支出（类）行</w:t>
      </w:r>
      <w:r>
        <w:rPr>
          <w:rFonts w:ascii="仿宋_GB2312" w:eastAsia="仿宋_GB2312" w:hAnsi="仿宋_GB2312" w:cs="仿宋_GB2312" w:hint="eastAsia"/>
          <w:b/>
          <w:bCs/>
          <w:sz w:val="32"/>
          <w:szCs w:val="32"/>
          <w:lang w:val="zh-CN"/>
        </w:rPr>
        <w:t>政事业单位医疗（款）行政单位医疗（项）。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21.52</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21.72</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100.93</w:t>
      </w:r>
      <w:r>
        <w:rPr>
          <w:rFonts w:ascii="仿宋_GB2312" w:eastAsia="仿宋_GB2312" w:cs="宋体"/>
          <w:color w:val="000000" w:themeColor="text1"/>
          <w:kern w:val="0"/>
          <w:sz w:val="32"/>
          <w:szCs w:val="32"/>
          <w:lang w:val="zh-CN"/>
        </w:rPr>
        <w:t>%</w:t>
      </w:r>
      <w:r>
        <w:rPr>
          <w:rFonts w:ascii="仿宋_GB2312" w:eastAsia="仿宋_GB2312" w:cs="宋体" w:hint="eastAsia"/>
          <w:color w:val="000000" w:themeColor="text1"/>
          <w:kern w:val="0"/>
          <w:sz w:val="32"/>
          <w:szCs w:val="32"/>
          <w:lang w:val="zh-CN"/>
        </w:rPr>
        <w:t>。决算数与年初预算数存在差异的主要原因是人员调入变化等原因。</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13</w:t>
      </w:r>
      <w:r>
        <w:rPr>
          <w:rFonts w:ascii="仿宋_GB2312" w:eastAsia="仿宋_GB2312" w:hAnsi="仿宋_GB2312" w:cs="仿宋_GB2312" w:hint="eastAsia"/>
          <w:b/>
          <w:bCs/>
          <w:sz w:val="32"/>
          <w:szCs w:val="32"/>
          <w:lang w:val="zh-CN"/>
        </w:rPr>
        <w:t>．卫生健康支出（类）行政事业单位医疗（款）公务员医疗补助（项）。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21.52</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20.91</w:t>
      </w:r>
      <w:r>
        <w:rPr>
          <w:rFonts w:ascii="仿宋_GB2312" w:eastAsia="仿宋_GB2312" w:cs="宋体" w:hint="eastAsia"/>
          <w:color w:val="000000" w:themeColor="text1"/>
          <w:kern w:val="0"/>
          <w:sz w:val="32"/>
          <w:szCs w:val="32"/>
          <w:lang w:val="zh-CN"/>
        </w:rPr>
        <w:t>万元，完成年初预算的</w:t>
      </w:r>
      <w:r>
        <w:rPr>
          <w:rFonts w:ascii="仿宋_GB2312" w:eastAsia="仿宋_GB2312" w:cs="宋体" w:hint="eastAsia"/>
          <w:color w:val="000000" w:themeColor="text1"/>
          <w:kern w:val="0"/>
          <w:sz w:val="32"/>
          <w:szCs w:val="32"/>
          <w:lang w:val="zh-CN"/>
        </w:rPr>
        <w:t>97.17%</w:t>
      </w:r>
      <w:r>
        <w:rPr>
          <w:rFonts w:ascii="仿宋_GB2312" w:eastAsia="仿宋_GB2312" w:cs="宋体" w:hint="eastAsia"/>
          <w:color w:val="000000" w:themeColor="text1"/>
          <w:kern w:val="0"/>
          <w:sz w:val="32"/>
          <w:szCs w:val="32"/>
          <w:lang w:val="zh-CN"/>
        </w:rPr>
        <w:t>。决算数与年初预算数存在差异的主要原因是人员调入变化等。</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14</w:t>
      </w:r>
      <w:r>
        <w:rPr>
          <w:rFonts w:ascii="仿宋_GB2312" w:eastAsia="仿宋_GB2312" w:hAnsi="仿宋_GB2312" w:cs="仿宋_GB2312" w:hint="eastAsia"/>
          <w:b/>
          <w:bCs/>
          <w:sz w:val="32"/>
          <w:szCs w:val="32"/>
          <w:lang w:val="zh-CN"/>
        </w:rPr>
        <w:t>．城乡社区支出（类）其他城乡社区支出（款）其他城乡社区支出（项）。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20</w:t>
      </w:r>
      <w:r>
        <w:rPr>
          <w:rFonts w:ascii="仿宋_GB2312" w:eastAsia="仿宋_GB2312" w:cs="宋体" w:hint="eastAsia"/>
          <w:color w:val="000000" w:themeColor="text1"/>
          <w:kern w:val="0"/>
          <w:sz w:val="32"/>
          <w:szCs w:val="32"/>
          <w:lang w:val="zh-CN"/>
        </w:rPr>
        <w:t>万元。决</w:t>
      </w:r>
      <w:r>
        <w:rPr>
          <w:rFonts w:ascii="仿宋_GB2312" w:eastAsia="仿宋_GB2312" w:cs="宋体" w:hint="eastAsia"/>
          <w:color w:val="000000" w:themeColor="text1"/>
          <w:kern w:val="0"/>
          <w:sz w:val="32"/>
          <w:szCs w:val="32"/>
          <w:lang w:val="zh-CN"/>
        </w:rPr>
        <w:lastRenderedPageBreak/>
        <w:t>算数与年初预算数</w:t>
      </w:r>
      <w:r>
        <w:rPr>
          <w:rFonts w:ascii="仿宋_GB2312" w:eastAsia="仿宋_GB2312" w:cs="宋体" w:hint="eastAsia"/>
          <w:color w:val="000000" w:themeColor="text1"/>
          <w:kern w:val="0"/>
          <w:sz w:val="32"/>
          <w:szCs w:val="32"/>
          <w:lang w:val="zh-CN"/>
        </w:rPr>
        <w:t>存在差异的主要原因是该部分资金为“百城提质”宣传追加的项目资金，其年初预算未在我单位体现。</w:t>
      </w:r>
    </w:p>
    <w:p w:rsidR="00117C2F" w:rsidRDefault="00F3246D">
      <w:pPr>
        <w:autoSpaceDE w:val="0"/>
        <w:autoSpaceDN w:val="0"/>
        <w:adjustRightInd w:val="0"/>
        <w:spacing w:line="570" w:lineRule="exact"/>
        <w:ind w:firstLineChars="200" w:firstLine="643"/>
        <w:jc w:val="left"/>
        <w:rPr>
          <w:rFonts w:ascii="仿宋_GB2312" w:eastAsia="仿宋_GB2312" w:cs="宋体"/>
          <w:color w:val="000000" w:themeColor="text1"/>
          <w:kern w:val="0"/>
          <w:sz w:val="32"/>
          <w:szCs w:val="32"/>
          <w:lang w:val="zh-CN"/>
        </w:rPr>
      </w:pPr>
      <w:r>
        <w:rPr>
          <w:rFonts w:ascii="仿宋_GB2312" w:eastAsia="仿宋_GB2312" w:hAnsi="仿宋_GB2312" w:cs="仿宋_GB2312" w:hint="eastAsia"/>
          <w:b/>
          <w:bCs/>
          <w:sz w:val="32"/>
          <w:szCs w:val="32"/>
          <w:lang w:val="zh-CN"/>
        </w:rPr>
        <w:t>15</w:t>
      </w:r>
      <w:r>
        <w:rPr>
          <w:rFonts w:ascii="仿宋_GB2312" w:eastAsia="仿宋_GB2312" w:hAnsi="仿宋_GB2312" w:cs="仿宋_GB2312" w:hint="eastAsia"/>
          <w:b/>
          <w:bCs/>
          <w:sz w:val="32"/>
          <w:szCs w:val="32"/>
          <w:lang w:val="zh-CN"/>
        </w:rPr>
        <w:t>．农林水支出（类）农业（款）其他农业支出（项）。</w:t>
      </w:r>
      <w:r>
        <w:rPr>
          <w:rFonts w:ascii="仿宋_GB2312" w:eastAsia="仿宋_GB2312" w:cs="宋体" w:hint="eastAsia"/>
          <w:color w:val="000000" w:themeColor="text1"/>
          <w:kern w:val="0"/>
          <w:sz w:val="32"/>
          <w:szCs w:val="32"/>
          <w:lang w:val="zh-CN"/>
        </w:rPr>
        <w:t>年初预算为</w:t>
      </w:r>
      <w:r>
        <w:rPr>
          <w:rFonts w:ascii="仿宋_GB2312" w:eastAsia="仿宋_GB2312" w:cs="宋体" w:hint="eastAsia"/>
          <w:color w:val="000000" w:themeColor="text1"/>
          <w:kern w:val="0"/>
          <w:sz w:val="32"/>
          <w:szCs w:val="32"/>
          <w:lang w:val="zh-CN"/>
        </w:rPr>
        <w:t>0</w:t>
      </w:r>
      <w:r>
        <w:rPr>
          <w:rFonts w:ascii="仿宋_GB2312" w:eastAsia="仿宋_GB2312" w:cs="宋体" w:hint="eastAsia"/>
          <w:color w:val="000000" w:themeColor="text1"/>
          <w:kern w:val="0"/>
          <w:sz w:val="32"/>
          <w:szCs w:val="32"/>
          <w:lang w:val="zh-CN"/>
        </w:rPr>
        <w:t>万元，支出决算为</w:t>
      </w:r>
      <w:r>
        <w:rPr>
          <w:rFonts w:ascii="仿宋_GB2312" w:eastAsia="仿宋_GB2312" w:cs="宋体" w:hint="eastAsia"/>
          <w:color w:val="000000" w:themeColor="text1"/>
          <w:kern w:val="0"/>
          <w:sz w:val="32"/>
          <w:szCs w:val="32"/>
          <w:lang w:val="zh-CN"/>
        </w:rPr>
        <w:t>3</w:t>
      </w:r>
      <w:r>
        <w:rPr>
          <w:rFonts w:ascii="仿宋_GB2312" w:eastAsia="仿宋_GB2312" w:cs="宋体" w:hint="eastAsia"/>
          <w:color w:val="000000" w:themeColor="text1"/>
          <w:kern w:val="0"/>
          <w:sz w:val="32"/>
          <w:szCs w:val="32"/>
          <w:lang w:val="zh-CN"/>
        </w:rPr>
        <w:t>万元。决算数与年初预算数存在差异的主要原因是该部分资金为追加的驻村扶贫工作经费。</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六、一般公共预算财政拨款基本支出决算情况说明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年度一般公共预算财政拨款基本支出</w:t>
      </w:r>
      <w:r>
        <w:rPr>
          <w:rFonts w:ascii="仿宋_GB2312" w:eastAsia="仿宋_GB2312" w:cs="宋体"/>
          <w:kern w:val="0"/>
          <w:sz w:val="32"/>
          <w:szCs w:val="32"/>
          <w:lang w:val="zh-CN"/>
        </w:rPr>
        <w:t>881.61</w:t>
      </w:r>
      <w:r>
        <w:rPr>
          <w:rFonts w:ascii="仿宋_GB2312" w:eastAsia="仿宋_GB2312" w:cs="宋体" w:hint="eastAsia"/>
          <w:kern w:val="0"/>
          <w:sz w:val="32"/>
          <w:szCs w:val="32"/>
          <w:lang w:val="zh-CN"/>
        </w:rPr>
        <w:t>万元。其中：人员经费</w:t>
      </w:r>
      <w:r>
        <w:rPr>
          <w:rFonts w:ascii="仿宋_GB2312" w:eastAsia="仿宋_GB2312" w:cs="宋体"/>
          <w:kern w:val="0"/>
          <w:sz w:val="32"/>
          <w:szCs w:val="32"/>
          <w:lang w:val="zh-CN"/>
        </w:rPr>
        <w:t>776.89</w:t>
      </w:r>
      <w:r>
        <w:rPr>
          <w:rFonts w:ascii="仿宋_GB2312" w:eastAsia="仿宋_GB2312" w:cs="宋体" w:hint="eastAsia"/>
          <w:kern w:val="0"/>
          <w:sz w:val="32"/>
          <w:szCs w:val="32"/>
          <w:lang w:val="zh-CN"/>
        </w:rPr>
        <w:t>万元，主要包括：基本工资、津贴补贴、机关事业单位基本养老保险缴费、职业年金缴费、其他社会保障缴费、退休费、生活补助、住房公积金、采暖补贴、物业服务补贴；公用经费</w:t>
      </w:r>
      <w:r>
        <w:rPr>
          <w:rFonts w:ascii="仿宋_GB2312" w:eastAsia="仿宋_GB2312" w:cs="宋体"/>
          <w:kern w:val="0"/>
          <w:sz w:val="32"/>
          <w:szCs w:val="32"/>
          <w:lang w:val="zh-CN"/>
        </w:rPr>
        <w:t>104.72</w:t>
      </w:r>
      <w:r>
        <w:rPr>
          <w:rFonts w:ascii="仿宋_GB2312" w:eastAsia="仿宋_GB2312" w:cs="宋体" w:hint="eastAsia"/>
          <w:kern w:val="0"/>
          <w:sz w:val="32"/>
          <w:szCs w:val="32"/>
          <w:lang w:val="zh-CN"/>
        </w:rPr>
        <w:t>万元，主要包括：办公费、印刷费、邮电费、差旅费、会议费、公务接待费、劳务费、委托业务费、工会经费、福利费、公务用车运行维护费、其他交通费用、其他商品和服务支出、办公设备购置。</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七、一般公共预算财政拨款</w:t>
      </w:r>
      <w:r>
        <w:rPr>
          <w:rFonts w:ascii="黑体" w:eastAsia="黑体" w:hAnsi="黑体" w:cs="宋体"/>
          <w:kern w:val="0"/>
          <w:sz w:val="32"/>
          <w:szCs w:val="32"/>
          <w:lang w:val="zh-CN"/>
        </w:rPr>
        <w:t>“</w:t>
      </w:r>
      <w:r>
        <w:rPr>
          <w:rFonts w:ascii="黑体" w:eastAsia="黑体" w:hAnsi="黑体" w:cs="宋体" w:hint="eastAsia"/>
          <w:kern w:val="0"/>
          <w:sz w:val="32"/>
          <w:szCs w:val="32"/>
          <w:lang w:val="zh-CN"/>
        </w:rPr>
        <w:t>三公</w:t>
      </w:r>
      <w:r>
        <w:rPr>
          <w:rFonts w:ascii="黑体" w:eastAsia="黑体" w:hAnsi="黑体" w:cs="宋体"/>
          <w:kern w:val="0"/>
          <w:sz w:val="32"/>
          <w:szCs w:val="32"/>
          <w:lang w:val="zh-CN"/>
        </w:rPr>
        <w:t>”</w:t>
      </w:r>
      <w:r>
        <w:rPr>
          <w:rFonts w:ascii="黑体" w:eastAsia="黑体" w:hAnsi="黑体" w:cs="宋体" w:hint="eastAsia"/>
          <w:kern w:val="0"/>
          <w:sz w:val="32"/>
          <w:szCs w:val="32"/>
          <w:lang w:val="zh-CN"/>
        </w:rPr>
        <w:t>经费支出决算情况说明</w:t>
      </w:r>
    </w:p>
    <w:p w:rsidR="00117C2F" w:rsidRDefault="00F3246D" w:rsidP="00A63715">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楷体_GB2312" w:eastAsia="楷体_GB2312" w:hAnsi="楷体_GB2312" w:cs="楷体_GB2312" w:hint="eastAsia"/>
          <w:b/>
          <w:bCs/>
          <w:sz w:val="32"/>
          <w:szCs w:val="32"/>
          <w:lang w:val="zh-CN"/>
        </w:rPr>
        <w:t>（一）“三公”经费财政拨款支出决算总体情况说明。</w:t>
      </w:r>
    </w:p>
    <w:p w:rsidR="00117C2F" w:rsidRDefault="00F3246D">
      <w:pPr>
        <w:widowControl/>
        <w:spacing w:line="570" w:lineRule="exact"/>
        <w:ind w:firstLineChars="200" w:firstLine="640"/>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三公</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经费财政拨款支出预算为</w:t>
      </w:r>
      <w:r>
        <w:rPr>
          <w:rFonts w:ascii="仿宋_GB2312" w:eastAsia="仿宋_GB2312" w:cs="宋体" w:hint="eastAsia"/>
          <w:kern w:val="0"/>
          <w:sz w:val="32"/>
          <w:szCs w:val="32"/>
          <w:lang w:val="zh-CN"/>
        </w:rPr>
        <w:t>55.9</w:t>
      </w:r>
      <w:r>
        <w:rPr>
          <w:rFonts w:ascii="仿宋_GB2312" w:eastAsia="仿宋_GB2312" w:cs="宋体" w:hint="eastAsia"/>
          <w:kern w:val="0"/>
          <w:sz w:val="32"/>
          <w:szCs w:val="32"/>
          <w:lang w:val="zh-CN"/>
        </w:rPr>
        <w:t>万元，支出</w:t>
      </w:r>
      <w:r>
        <w:rPr>
          <w:rFonts w:ascii="仿宋_GB2312" w:eastAsia="仿宋_GB2312" w:cs="宋体" w:hint="eastAsia"/>
          <w:kern w:val="0"/>
          <w:sz w:val="32"/>
          <w:szCs w:val="32"/>
          <w:lang w:val="zh-CN"/>
        </w:rPr>
        <w:t>决算为</w:t>
      </w:r>
      <w:r>
        <w:rPr>
          <w:rFonts w:ascii="仿宋_GB2312" w:eastAsia="仿宋_GB2312" w:cs="宋体"/>
          <w:kern w:val="0"/>
          <w:sz w:val="32"/>
          <w:szCs w:val="32"/>
          <w:lang w:val="zh-CN"/>
        </w:rPr>
        <w:t>42.29</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75.65</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w:t>
      </w: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三公</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经费支出决算数与预算数存在差异的主要原因是我单位压减一般性经费支出和“三公”经费支出。</w:t>
      </w:r>
    </w:p>
    <w:p w:rsidR="00117C2F" w:rsidRDefault="00F3246D" w:rsidP="00A63715">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楷体_GB2312" w:eastAsia="楷体_GB2312" w:hAnsi="楷体_GB2312" w:cs="楷体_GB2312" w:hint="eastAsia"/>
          <w:b/>
          <w:bCs/>
          <w:sz w:val="32"/>
          <w:szCs w:val="32"/>
          <w:lang w:val="zh-CN"/>
        </w:rPr>
        <w:t>（二）“三公”经费财政拨款支出决算具体情况说明。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2019</w:t>
      </w:r>
      <w:r>
        <w:rPr>
          <w:rFonts w:ascii="仿宋_GB2312" w:eastAsia="仿宋_GB2312" w:cs="宋体" w:hint="eastAsia"/>
          <w:kern w:val="0"/>
          <w:sz w:val="32"/>
          <w:szCs w:val="32"/>
          <w:lang w:val="zh-CN"/>
        </w:rPr>
        <w:t>年度</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三公</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经费财政拨款支出决算中，因公出国（境）费支出决算</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100%</w:t>
      </w:r>
      <w:r>
        <w:rPr>
          <w:rFonts w:ascii="仿宋_GB2312" w:eastAsia="仿宋_GB2312" w:cs="宋体" w:hint="eastAsia"/>
          <w:kern w:val="0"/>
          <w:sz w:val="32"/>
          <w:szCs w:val="32"/>
          <w:lang w:val="zh-CN"/>
        </w:rPr>
        <w:t>，占</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；公务用车购置及运</w:t>
      </w:r>
      <w:r>
        <w:rPr>
          <w:rFonts w:ascii="仿宋_GB2312" w:eastAsia="仿宋_GB2312" w:cs="宋体" w:hint="eastAsia"/>
          <w:kern w:val="0"/>
          <w:sz w:val="32"/>
          <w:szCs w:val="32"/>
          <w:lang w:val="zh-CN"/>
        </w:rPr>
        <w:lastRenderedPageBreak/>
        <w:t>行费支出决算</w:t>
      </w:r>
      <w:r>
        <w:rPr>
          <w:rFonts w:ascii="仿宋_GB2312" w:eastAsia="仿宋_GB2312" w:cs="宋体"/>
          <w:kern w:val="0"/>
          <w:sz w:val="32"/>
          <w:szCs w:val="32"/>
          <w:lang w:val="zh-CN"/>
        </w:rPr>
        <w:t>35.95</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85.78</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，占</w:t>
      </w:r>
      <w:r>
        <w:rPr>
          <w:rFonts w:ascii="仿宋_GB2312" w:eastAsia="仿宋_GB2312" w:cs="宋体" w:hint="eastAsia"/>
          <w:kern w:val="0"/>
          <w:sz w:val="32"/>
          <w:szCs w:val="32"/>
          <w:lang w:val="zh-CN"/>
        </w:rPr>
        <w:t>85.01</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；公务接待费支出决算</w:t>
      </w:r>
      <w:r>
        <w:rPr>
          <w:rFonts w:ascii="仿宋_GB2312" w:eastAsia="仿宋_GB2312" w:cs="宋体"/>
          <w:kern w:val="0"/>
          <w:sz w:val="32"/>
          <w:szCs w:val="32"/>
          <w:lang w:val="zh-CN"/>
        </w:rPr>
        <w:t>6.34</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45.29</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，占</w:t>
      </w:r>
      <w:r>
        <w:rPr>
          <w:rFonts w:ascii="仿宋_GB2312" w:eastAsia="仿宋_GB2312" w:cs="宋体" w:hint="eastAsia"/>
          <w:kern w:val="0"/>
          <w:sz w:val="32"/>
          <w:szCs w:val="32"/>
          <w:lang w:val="zh-CN"/>
        </w:rPr>
        <w:t>14.99</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。具体情况如下：</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1</w:t>
      </w:r>
      <w:r>
        <w:rPr>
          <w:rFonts w:ascii="仿宋_GB2312" w:eastAsia="仿宋_GB2312" w:hAnsi="仿宋_GB2312" w:cs="仿宋_GB2312" w:hint="eastAsia"/>
          <w:b/>
          <w:bCs/>
          <w:sz w:val="32"/>
          <w:szCs w:val="32"/>
          <w:lang w:val="zh-CN"/>
        </w:rPr>
        <w:t>．因公出国（境）费</w:t>
      </w:r>
      <w:r>
        <w:rPr>
          <w:rFonts w:ascii="仿宋_GB2312" w:eastAsia="仿宋_GB2312" w:cs="宋体" w:hint="eastAsia"/>
          <w:kern w:val="0"/>
          <w:sz w:val="32"/>
          <w:szCs w:val="32"/>
          <w:lang w:val="zh-CN"/>
        </w:rPr>
        <w:t>预算为</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万元，支出决算为</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万元。</w:t>
      </w:r>
      <w:r>
        <w:rPr>
          <w:rFonts w:ascii="仿宋_GB2312" w:eastAsia="仿宋_GB2312" w:hAnsi="仿宋_GB2312" w:cs="仿宋_GB2312" w:hint="eastAsia"/>
          <w:sz w:val="32"/>
          <w:szCs w:val="32"/>
        </w:rPr>
        <w:t>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cs="宋体" w:hint="eastAsia"/>
          <w:kern w:val="0"/>
          <w:sz w:val="32"/>
          <w:szCs w:val="32"/>
          <w:lang w:val="zh-CN"/>
        </w:rPr>
        <w:t>决算数与预算数不存在差异</w:t>
      </w:r>
      <w:r>
        <w:rPr>
          <w:rFonts w:ascii="仿宋_GB2312" w:eastAsia="仿宋_GB2312" w:hAnsi="仿宋_GB2312" w:cs="仿宋_GB2312" w:hint="eastAsia"/>
          <w:sz w:val="32"/>
          <w:szCs w:val="32"/>
        </w:rPr>
        <w:t>。全年因公出国（境）团组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人次。开支内容包括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无。</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2</w:t>
      </w:r>
      <w:r>
        <w:rPr>
          <w:rFonts w:ascii="仿宋_GB2312" w:eastAsia="仿宋_GB2312" w:hAnsi="仿宋_GB2312" w:cs="仿宋_GB2312" w:hint="eastAsia"/>
          <w:b/>
          <w:bCs/>
          <w:sz w:val="32"/>
          <w:szCs w:val="32"/>
          <w:lang w:val="zh-CN"/>
        </w:rPr>
        <w:t>．公务用车购置及运行费</w:t>
      </w:r>
      <w:r>
        <w:rPr>
          <w:rFonts w:ascii="仿宋_GB2312" w:eastAsia="仿宋_GB2312" w:cs="宋体" w:hint="eastAsia"/>
          <w:kern w:val="0"/>
          <w:sz w:val="32"/>
          <w:szCs w:val="32"/>
          <w:lang w:val="zh-CN"/>
        </w:rPr>
        <w:t>预算为</w:t>
      </w:r>
      <w:r>
        <w:rPr>
          <w:rFonts w:ascii="仿宋_GB2312" w:eastAsia="仿宋_GB2312" w:cs="宋体" w:hint="eastAsia"/>
          <w:kern w:val="0"/>
          <w:sz w:val="32"/>
          <w:szCs w:val="32"/>
          <w:lang w:val="zh-CN"/>
        </w:rPr>
        <w:t>41.9</w:t>
      </w:r>
      <w:r>
        <w:rPr>
          <w:rFonts w:ascii="仿宋_GB2312" w:eastAsia="仿宋_GB2312" w:cs="宋体" w:hint="eastAsia"/>
          <w:kern w:val="0"/>
          <w:sz w:val="32"/>
          <w:szCs w:val="32"/>
          <w:lang w:val="zh-CN"/>
        </w:rPr>
        <w:t>万元，支出决算为</w:t>
      </w:r>
      <w:r>
        <w:rPr>
          <w:rFonts w:ascii="仿宋_GB2312" w:eastAsia="仿宋_GB2312" w:cs="宋体" w:hint="eastAsia"/>
          <w:kern w:val="0"/>
          <w:sz w:val="32"/>
          <w:szCs w:val="32"/>
          <w:lang w:val="zh-CN"/>
        </w:rPr>
        <w:t>35.95</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85.78%</w:t>
      </w:r>
      <w:r>
        <w:rPr>
          <w:rFonts w:ascii="仿宋_GB2312" w:eastAsia="仿宋_GB2312" w:cs="宋体" w:hint="eastAsia"/>
          <w:kern w:val="0"/>
          <w:sz w:val="32"/>
          <w:szCs w:val="32"/>
          <w:lang w:val="zh-CN"/>
        </w:rPr>
        <w:t>。决算数与预算数存在差异的主要原因是我单位压减“三公”经费支出。其中：</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公务用车购置支出</w:t>
      </w:r>
      <w:r>
        <w:rPr>
          <w:rFonts w:ascii="仿宋_GB2312" w:eastAsia="仿宋_GB2312" w:cs="宋体" w:hint="eastAsia"/>
          <w:kern w:val="0"/>
          <w:sz w:val="32"/>
          <w:szCs w:val="32"/>
          <w:lang w:val="zh-CN"/>
        </w:rPr>
        <w:t>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万元，购置车辆</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辆。</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公务用车运行支出</w:t>
      </w:r>
      <w:r>
        <w:rPr>
          <w:rFonts w:ascii="仿宋_GB2312" w:eastAsia="仿宋_GB2312" w:cs="宋体" w:hint="eastAsia"/>
          <w:kern w:val="0"/>
          <w:sz w:val="32"/>
          <w:szCs w:val="32"/>
          <w:lang w:val="zh-CN"/>
        </w:rPr>
        <w:t>35.95</w:t>
      </w:r>
      <w:r>
        <w:rPr>
          <w:rFonts w:ascii="仿宋_GB2312" w:eastAsia="仿宋_GB2312" w:cs="宋体" w:hint="eastAsia"/>
          <w:kern w:val="0"/>
          <w:sz w:val="32"/>
          <w:szCs w:val="32"/>
          <w:lang w:val="zh-CN"/>
        </w:rPr>
        <w:t>万元。主要用于车辆维修、燃油购置、车辆审验、车辆保险和路桥通行费用等。</w:t>
      </w:r>
      <w:r>
        <w:rPr>
          <w:rFonts w:ascii="仿宋_GB2312" w:eastAsia="仿宋_GB2312" w:cs="宋体"/>
          <w:kern w:val="0"/>
          <w:sz w:val="32"/>
          <w:szCs w:val="32"/>
          <w:lang w:val="zh-CN"/>
        </w:rPr>
        <w:t>201</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年期末，部门开支财政拨款的公务用车保有量为</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辆（包含部机关</w:t>
      </w: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辆、</w:t>
      </w:r>
      <w:r>
        <w:rPr>
          <w:rFonts w:ascii="仿宋_GB2312" w:eastAsia="仿宋_GB2312" w:cs="宋体" w:hint="eastAsia"/>
          <w:kern w:val="0"/>
          <w:sz w:val="32"/>
          <w:szCs w:val="32"/>
          <w:lang w:val="zh-CN"/>
        </w:rPr>
        <w:t>指挥部</w:t>
      </w: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辆、省主流媒体驻新记者站</w:t>
      </w: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辆）。</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3.</w:t>
      </w:r>
      <w:r>
        <w:rPr>
          <w:rFonts w:ascii="仿宋_GB2312" w:eastAsia="仿宋_GB2312" w:hAnsi="仿宋_GB2312" w:cs="仿宋_GB2312" w:hint="eastAsia"/>
          <w:b/>
          <w:bCs/>
          <w:sz w:val="32"/>
          <w:szCs w:val="32"/>
          <w:lang w:val="zh-CN"/>
        </w:rPr>
        <w:t>公务接待费</w:t>
      </w:r>
      <w:r>
        <w:rPr>
          <w:rFonts w:ascii="仿宋_GB2312" w:eastAsia="仿宋_GB2312" w:cs="宋体" w:hint="eastAsia"/>
          <w:kern w:val="0"/>
          <w:sz w:val="32"/>
          <w:szCs w:val="32"/>
          <w:lang w:val="zh-CN"/>
        </w:rPr>
        <w:t>预算为</w:t>
      </w:r>
      <w:r>
        <w:rPr>
          <w:rFonts w:ascii="仿宋_GB2312" w:eastAsia="仿宋_GB2312" w:cs="宋体" w:hint="eastAsia"/>
          <w:kern w:val="0"/>
          <w:sz w:val="32"/>
          <w:szCs w:val="32"/>
          <w:lang w:val="zh-CN"/>
        </w:rPr>
        <w:t>14</w:t>
      </w:r>
      <w:r>
        <w:rPr>
          <w:rFonts w:ascii="仿宋_GB2312" w:eastAsia="仿宋_GB2312" w:cs="宋体" w:hint="eastAsia"/>
          <w:kern w:val="0"/>
          <w:sz w:val="32"/>
          <w:szCs w:val="32"/>
          <w:lang w:val="zh-CN"/>
        </w:rPr>
        <w:t>万元，支出决算为</w:t>
      </w:r>
      <w:r>
        <w:rPr>
          <w:rFonts w:ascii="仿宋_GB2312" w:eastAsia="仿宋_GB2312" w:cs="宋体" w:hint="eastAsia"/>
          <w:kern w:val="0"/>
          <w:sz w:val="32"/>
          <w:szCs w:val="32"/>
          <w:lang w:val="zh-CN"/>
        </w:rPr>
        <w:t>6.34</w:t>
      </w:r>
      <w:r>
        <w:rPr>
          <w:rFonts w:ascii="仿宋_GB2312" w:eastAsia="仿宋_GB2312" w:cs="宋体" w:hint="eastAsia"/>
          <w:kern w:val="0"/>
          <w:sz w:val="32"/>
          <w:szCs w:val="32"/>
          <w:lang w:val="zh-CN"/>
        </w:rPr>
        <w:t>万元，完成预算的</w:t>
      </w:r>
      <w:r>
        <w:rPr>
          <w:rFonts w:ascii="仿宋_GB2312" w:eastAsia="仿宋_GB2312" w:cs="宋体" w:hint="eastAsia"/>
          <w:kern w:val="0"/>
          <w:sz w:val="32"/>
          <w:szCs w:val="32"/>
          <w:lang w:val="zh-CN"/>
        </w:rPr>
        <w:t>45.29</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。决算数与预算数存在差异的主要原因是本着节约、高效的原则，压缩接待费用。其中：</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外宾接待支出</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万元。主要用于：无。</w:t>
      </w:r>
      <w:r>
        <w:rPr>
          <w:rFonts w:ascii="仿宋_GB2312" w:eastAsia="仿宋_GB2312" w:cs="宋体"/>
          <w:kern w:val="0"/>
          <w:sz w:val="32"/>
          <w:szCs w:val="32"/>
          <w:lang w:val="zh-CN"/>
        </w:rPr>
        <w:t>201</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年共接待国（境）外来访团组</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个、来访外宾</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人次。来访人员主要包括：无。</w:t>
      </w:r>
    </w:p>
    <w:p w:rsidR="00117C2F" w:rsidRDefault="00F3246D">
      <w:pPr>
        <w:autoSpaceDE w:val="0"/>
        <w:autoSpaceDN w:val="0"/>
        <w:adjustRightInd w:val="0"/>
        <w:spacing w:line="570" w:lineRule="exact"/>
        <w:ind w:firstLineChars="200" w:firstLine="643"/>
        <w:jc w:val="left"/>
        <w:rPr>
          <w:rFonts w:ascii="仿宋_GB2312" w:eastAsia="仿宋_GB2312" w:cs="宋体"/>
          <w:kern w:val="0"/>
          <w:sz w:val="32"/>
          <w:szCs w:val="32"/>
          <w:lang w:val="zh-CN"/>
        </w:rPr>
      </w:pPr>
      <w:r>
        <w:rPr>
          <w:rFonts w:ascii="仿宋_GB2312" w:eastAsia="仿宋_GB2312" w:hAnsi="仿宋_GB2312" w:cs="仿宋_GB2312" w:hint="eastAsia"/>
          <w:b/>
          <w:bCs/>
          <w:sz w:val="32"/>
          <w:szCs w:val="32"/>
          <w:lang w:val="zh-CN"/>
        </w:rPr>
        <w:t>其他国内公务接待支出</w:t>
      </w:r>
      <w:r>
        <w:rPr>
          <w:rFonts w:ascii="仿宋_GB2312" w:eastAsia="仿宋_GB2312" w:cs="宋体" w:hint="eastAsia"/>
          <w:kern w:val="0"/>
          <w:sz w:val="32"/>
          <w:szCs w:val="32"/>
          <w:lang w:val="zh-CN"/>
        </w:rPr>
        <w:t>6.34</w:t>
      </w:r>
      <w:r>
        <w:rPr>
          <w:rFonts w:ascii="仿宋_GB2312" w:eastAsia="仿宋_GB2312" w:cs="宋体" w:hint="eastAsia"/>
          <w:kern w:val="0"/>
          <w:sz w:val="32"/>
          <w:szCs w:val="32"/>
          <w:lang w:val="zh-CN"/>
        </w:rPr>
        <w:t>万元。主要用于新闻媒体莅新采访、考察团莅新调研、上级机关莅新检查、调研、督导工作的接待等。</w:t>
      </w:r>
      <w:r>
        <w:rPr>
          <w:rFonts w:ascii="仿宋_GB2312" w:eastAsia="仿宋_GB2312" w:cs="宋体" w:hint="eastAsia"/>
          <w:kern w:val="0"/>
          <w:sz w:val="32"/>
          <w:szCs w:val="32"/>
          <w:lang w:val="zh-CN"/>
        </w:rPr>
        <w:t>2019</w:t>
      </w:r>
      <w:r>
        <w:rPr>
          <w:rFonts w:ascii="仿宋_GB2312" w:eastAsia="仿宋_GB2312" w:cs="宋体" w:hint="eastAsia"/>
          <w:kern w:val="0"/>
          <w:sz w:val="32"/>
          <w:szCs w:val="32"/>
          <w:lang w:val="zh-CN"/>
        </w:rPr>
        <w:t>年共接待国内来访团组</w:t>
      </w:r>
      <w:r>
        <w:rPr>
          <w:rFonts w:ascii="仿宋_GB2312" w:eastAsia="仿宋_GB2312" w:cs="宋体" w:hint="eastAsia"/>
          <w:kern w:val="0"/>
          <w:sz w:val="32"/>
          <w:szCs w:val="32"/>
          <w:lang w:val="zh-CN"/>
        </w:rPr>
        <w:t>32</w:t>
      </w:r>
      <w:r>
        <w:rPr>
          <w:rFonts w:ascii="仿宋_GB2312" w:eastAsia="仿宋_GB2312" w:cs="宋体" w:hint="eastAsia"/>
          <w:kern w:val="0"/>
          <w:sz w:val="32"/>
          <w:szCs w:val="32"/>
          <w:lang w:val="zh-CN"/>
        </w:rPr>
        <w:t>个、来宾</w:t>
      </w:r>
      <w:r>
        <w:rPr>
          <w:rFonts w:ascii="仿宋_GB2312" w:eastAsia="仿宋_GB2312" w:cs="宋体" w:hint="eastAsia"/>
          <w:kern w:val="0"/>
          <w:sz w:val="32"/>
          <w:szCs w:val="32"/>
          <w:lang w:val="zh-CN"/>
        </w:rPr>
        <w:t>200</w:t>
      </w:r>
      <w:r>
        <w:rPr>
          <w:rFonts w:ascii="仿宋_GB2312" w:eastAsia="仿宋_GB2312" w:cs="宋体" w:hint="eastAsia"/>
          <w:kern w:val="0"/>
          <w:sz w:val="32"/>
          <w:szCs w:val="32"/>
          <w:lang w:val="zh-CN"/>
        </w:rPr>
        <w:t>余人次（不包括陪同人员）。</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八、预算绩效情况说明</w:t>
      </w:r>
    </w:p>
    <w:p w:rsidR="00117C2F" w:rsidRDefault="00F3246D" w:rsidP="00A63715">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楷体_GB2312" w:eastAsia="楷体_GB2312" w:hAnsi="楷体_GB2312" w:cs="楷体_GB2312" w:hint="eastAsia"/>
          <w:b/>
          <w:bCs/>
          <w:sz w:val="32"/>
          <w:szCs w:val="32"/>
          <w:lang w:val="zh-CN"/>
        </w:rPr>
        <w:lastRenderedPageBreak/>
        <w:t>（一）绩效管理工作开展情况。</w:t>
      </w:r>
    </w:p>
    <w:p w:rsidR="00117C2F" w:rsidRDefault="00F3246D">
      <w:pPr>
        <w:widowControl/>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、建立科学有效的评估办法，预判活动支出情况，并提交部务会审议；</w:t>
      </w:r>
    </w:p>
    <w:p w:rsidR="00117C2F" w:rsidRDefault="00F3246D">
      <w:pPr>
        <w:widowControl/>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、每月对财务支出情况进行汇总上报，及时掌握和调整支出进度，为部领导决策提供科学详实数据。</w:t>
      </w:r>
    </w:p>
    <w:p w:rsidR="00117C2F" w:rsidRDefault="00F3246D">
      <w:pPr>
        <w:widowControl/>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、综合分析资金使用、管理和完成预期效益情况，安排明年资金预算。</w:t>
      </w:r>
    </w:p>
    <w:p w:rsidR="00117C2F" w:rsidRDefault="00F3246D" w:rsidP="00A63715">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楷体_GB2312" w:eastAsia="楷体_GB2312" w:hAnsi="楷体_GB2312" w:cs="楷体_GB2312" w:hint="eastAsia"/>
          <w:b/>
          <w:bCs/>
          <w:sz w:val="32"/>
          <w:szCs w:val="32"/>
          <w:lang w:val="zh-CN"/>
        </w:rPr>
        <w:t>（二）项目绩效自评结果。</w:t>
      </w:r>
    </w:p>
    <w:tbl>
      <w:tblPr>
        <w:tblW w:w="8862" w:type="dxa"/>
        <w:tblInd w:w="91" w:type="dxa"/>
        <w:tblLook w:val="04A0"/>
      </w:tblPr>
      <w:tblGrid>
        <w:gridCol w:w="2944"/>
        <w:gridCol w:w="1008"/>
        <w:gridCol w:w="1008"/>
        <w:gridCol w:w="1008"/>
        <w:gridCol w:w="1008"/>
        <w:gridCol w:w="1008"/>
        <w:gridCol w:w="878"/>
      </w:tblGrid>
      <w:tr w:rsidR="00117C2F">
        <w:trPr>
          <w:trHeight w:val="2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项目名称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预算金额</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项目决算</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项目决策</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项目管理</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项目绩效</w:t>
            </w:r>
          </w:p>
        </w:tc>
        <w:tc>
          <w:tcPr>
            <w:tcW w:w="878" w:type="dxa"/>
            <w:tcBorders>
              <w:top w:val="single" w:sz="4" w:space="0" w:color="auto"/>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综合分</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主流媒体合作服务经费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248</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243.95</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tabs>
                <w:tab w:val="center" w:pos="396"/>
              </w:tabs>
              <w:spacing w:line="280" w:lineRule="exact"/>
              <w:jc w:val="center"/>
              <w:rPr>
                <w:rFonts w:ascii="宋体" w:hAnsi="宋体" w:cs="宋体"/>
                <w:kern w:val="0"/>
                <w:sz w:val="18"/>
                <w:szCs w:val="18"/>
              </w:rPr>
            </w:pPr>
            <w:r>
              <w:rPr>
                <w:rFonts w:ascii="宋体" w:hAnsi="宋体" w:cs="宋体" w:hint="eastAsia"/>
                <w:kern w:val="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26</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96</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党报党刊征订专项经费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115.2</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115.2</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100</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文明志愿者服务工作经费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7.8</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7.55</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28</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98</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未成年人思想道德建设经费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10.8</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10.58</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28</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98</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市“双城”创建指挥部工作经费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270</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122.95</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15</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85</w:t>
            </w:r>
          </w:p>
        </w:tc>
      </w:tr>
      <w:tr w:rsidR="00117C2F">
        <w:trPr>
          <w:trHeight w:val="340"/>
        </w:trPr>
        <w:tc>
          <w:tcPr>
            <w:tcW w:w="0" w:type="auto"/>
            <w:tcBorders>
              <w:top w:val="nil"/>
              <w:left w:val="single" w:sz="4" w:space="0" w:color="auto"/>
              <w:bottom w:val="single" w:sz="4" w:space="0" w:color="auto"/>
              <w:right w:val="single" w:sz="4" w:space="0" w:color="auto"/>
            </w:tcBorders>
            <w:shd w:val="clear" w:color="auto" w:fill="auto"/>
            <w:vAlign w:val="center"/>
          </w:tcPr>
          <w:p w:rsidR="00117C2F" w:rsidRDefault="00F3246D">
            <w:pPr>
              <w:widowControl/>
              <w:spacing w:line="280" w:lineRule="exact"/>
              <w:rPr>
                <w:rFonts w:ascii="微软雅黑" w:eastAsia="微软雅黑" w:hAnsi="微软雅黑" w:cs="宋体"/>
                <w:kern w:val="0"/>
                <w:sz w:val="18"/>
                <w:szCs w:val="18"/>
              </w:rPr>
            </w:pPr>
            <w:r>
              <w:rPr>
                <w:rFonts w:ascii="微软雅黑" w:eastAsia="微软雅黑" w:hAnsi="微软雅黑" w:cs="宋体" w:hint="eastAsia"/>
                <w:kern w:val="0"/>
                <w:sz w:val="18"/>
                <w:szCs w:val="18"/>
              </w:rPr>
              <w:t>培训费</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2.85</w:t>
            </w:r>
          </w:p>
        </w:tc>
        <w:tc>
          <w:tcPr>
            <w:tcW w:w="0" w:type="auto"/>
            <w:tcBorders>
              <w:top w:val="nil"/>
              <w:left w:val="nil"/>
              <w:bottom w:val="single" w:sz="4" w:space="0" w:color="auto"/>
              <w:right w:val="single" w:sz="4" w:space="0" w:color="auto"/>
            </w:tcBorders>
            <w:shd w:val="clear" w:color="auto" w:fill="auto"/>
            <w:vAlign w:val="center"/>
          </w:tcPr>
          <w:p w:rsidR="00117C2F" w:rsidRDefault="00F3246D">
            <w:pPr>
              <w:widowControl/>
              <w:spacing w:line="28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22.81</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35</w:t>
            </w:r>
          </w:p>
        </w:tc>
        <w:tc>
          <w:tcPr>
            <w:tcW w:w="0" w:type="auto"/>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30</w:t>
            </w:r>
          </w:p>
        </w:tc>
        <w:tc>
          <w:tcPr>
            <w:tcW w:w="100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20</w:t>
            </w:r>
          </w:p>
        </w:tc>
        <w:tc>
          <w:tcPr>
            <w:tcW w:w="878" w:type="dxa"/>
            <w:tcBorders>
              <w:top w:val="nil"/>
              <w:left w:val="nil"/>
              <w:bottom w:val="single" w:sz="4" w:space="0" w:color="auto"/>
              <w:right w:val="single" w:sz="4" w:space="0" w:color="auto"/>
            </w:tcBorders>
            <w:shd w:val="clear" w:color="auto" w:fill="auto"/>
            <w:noWrap/>
            <w:vAlign w:val="center"/>
          </w:tcPr>
          <w:p w:rsidR="00117C2F" w:rsidRDefault="00F3246D">
            <w:pPr>
              <w:widowControl/>
              <w:spacing w:line="280" w:lineRule="exact"/>
              <w:jc w:val="center"/>
              <w:rPr>
                <w:rFonts w:ascii="宋体" w:hAnsi="宋体" w:cs="宋体"/>
                <w:kern w:val="0"/>
                <w:sz w:val="18"/>
                <w:szCs w:val="18"/>
              </w:rPr>
            </w:pPr>
            <w:r>
              <w:rPr>
                <w:rFonts w:ascii="宋体" w:hAnsi="宋体" w:cs="宋体" w:hint="eastAsia"/>
                <w:kern w:val="0"/>
                <w:sz w:val="18"/>
                <w:szCs w:val="18"/>
              </w:rPr>
              <w:t>85</w:t>
            </w:r>
          </w:p>
        </w:tc>
      </w:tr>
    </w:tbl>
    <w:p w:rsidR="00117C2F" w:rsidRDefault="00F3246D">
      <w:pPr>
        <w:spacing w:line="570" w:lineRule="exact"/>
        <w:ind w:firstLineChars="200" w:firstLine="640"/>
        <w:rPr>
          <w:rFonts w:ascii="黑体" w:eastAsia="黑体"/>
          <w:sz w:val="32"/>
          <w:szCs w:val="32"/>
        </w:rPr>
      </w:pPr>
      <w:r>
        <w:rPr>
          <w:rFonts w:ascii="仿宋_GB2312" w:eastAsia="仿宋_GB2312" w:hint="eastAsia"/>
          <w:sz w:val="32"/>
          <w:szCs w:val="32"/>
        </w:rPr>
        <w:t>2019</w:t>
      </w:r>
      <w:r>
        <w:rPr>
          <w:rFonts w:ascii="仿宋_GB2312" w:eastAsia="仿宋_GB2312" w:hint="eastAsia"/>
          <w:sz w:val="32"/>
          <w:szCs w:val="32"/>
        </w:rPr>
        <w:t>年我单位纳入绩效管理项目</w:t>
      </w:r>
      <w:r>
        <w:rPr>
          <w:rFonts w:ascii="仿宋_GB2312" w:eastAsia="仿宋_GB2312" w:hint="eastAsia"/>
          <w:sz w:val="32"/>
          <w:szCs w:val="32"/>
        </w:rPr>
        <w:t>6</w:t>
      </w:r>
      <w:r>
        <w:rPr>
          <w:rFonts w:ascii="仿宋_GB2312" w:eastAsia="仿宋_GB2312" w:hint="eastAsia"/>
          <w:sz w:val="32"/>
          <w:szCs w:val="32"/>
        </w:rPr>
        <w:t>项，共计</w:t>
      </w:r>
      <w:r>
        <w:rPr>
          <w:rFonts w:ascii="仿宋_GB2312" w:eastAsia="仿宋_GB2312" w:hint="eastAsia"/>
          <w:sz w:val="32"/>
          <w:szCs w:val="32"/>
        </w:rPr>
        <w:t>654.65</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综合评价分值</w:t>
      </w:r>
      <w:r>
        <w:rPr>
          <w:rFonts w:ascii="仿宋_GB2312" w:eastAsia="仿宋_GB2312" w:hint="eastAsia"/>
          <w:sz w:val="32"/>
          <w:szCs w:val="32"/>
        </w:rPr>
        <w:t>93.6</w:t>
      </w:r>
      <w:r>
        <w:rPr>
          <w:rFonts w:ascii="仿宋_GB2312" w:eastAsia="仿宋_GB2312" w:hint="eastAsia"/>
          <w:sz w:val="32"/>
          <w:szCs w:val="32"/>
        </w:rPr>
        <w:t>分。</w:t>
      </w:r>
    </w:p>
    <w:p w:rsidR="00117C2F" w:rsidRDefault="00F3246D" w:rsidP="00A63715">
      <w:pPr>
        <w:autoSpaceDE w:val="0"/>
        <w:autoSpaceDN w:val="0"/>
        <w:adjustRightInd w:val="0"/>
        <w:spacing w:line="570" w:lineRule="exact"/>
        <w:ind w:firstLineChars="200" w:firstLine="640"/>
        <w:jc w:val="left"/>
        <w:rPr>
          <w:rFonts w:ascii="楷体_GB2312" w:eastAsia="楷体_GB2312" w:hAnsi="楷体_GB2312" w:cs="楷体_GB2312"/>
          <w:b/>
          <w:bCs/>
          <w:sz w:val="32"/>
          <w:szCs w:val="32"/>
          <w:lang w:val="zh-CN"/>
        </w:rPr>
      </w:pPr>
      <w:r>
        <w:rPr>
          <w:rFonts w:ascii="楷体_GB2312" w:eastAsia="楷体_GB2312" w:hAnsi="楷体_GB2312" w:cs="楷体_GB2312" w:hint="eastAsia"/>
          <w:b/>
          <w:bCs/>
          <w:sz w:val="32"/>
          <w:szCs w:val="32"/>
          <w:lang w:val="zh-CN"/>
        </w:rPr>
        <w:t>（三）以部门为主体开展的重点绩效评价结果。</w:t>
      </w:r>
    </w:p>
    <w:p w:rsidR="00117C2F" w:rsidRDefault="00F3246D">
      <w:pPr>
        <w:autoSpaceDE w:val="0"/>
        <w:autoSpaceDN w:val="0"/>
        <w:adjustRightInd w:val="0"/>
        <w:spacing w:line="570" w:lineRule="exact"/>
        <w:ind w:firstLineChars="200" w:firstLine="640"/>
        <w:jc w:val="left"/>
        <w:rPr>
          <w:rFonts w:ascii="宋体" w:cs="宋体"/>
          <w:kern w:val="0"/>
          <w:sz w:val="38"/>
          <w:szCs w:val="38"/>
          <w:lang w:val="zh-CN"/>
        </w:rPr>
      </w:pPr>
      <w:r>
        <w:rPr>
          <w:rFonts w:ascii="仿宋_GB2312" w:eastAsia="仿宋_GB2312" w:hint="eastAsia"/>
          <w:sz w:val="32"/>
          <w:szCs w:val="32"/>
        </w:rPr>
        <w:t>整体预算执行情况较好，能严守财经纪律，严控“三公经费”和一般性经费支出，科学安排项目支出，严格执行政府采购和资产购置计划，使财政资金发挥了应有的社会效益</w:t>
      </w:r>
      <w:r w:rsidR="00A63715">
        <w:rPr>
          <w:rFonts w:ascii="仿宋_GB2312" w:eastAsia="仿宋_GB2312" w:hint="eastAsia"/>
          <w:sz w:val="32"/>
          <w:szCs w:val="32"/>
        </w:rPr>
        <w:t>。</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九、政府性基金预算财政拨款支出决算情况说明</w:t>
      </w:r>
    </w:p>
    <w:p w:rsidR="00117C2F" w:rsidRDefault="00F3246D">
      <w:pPr>
        <w:widowControl/>
        <w:spacing w:line="570" w:lineRule="exact"/>
        <w:ind w:firstLineChars="200" w:firstLine="640"/>
        <w:jc w:val="left"/>
      </w:pPr>
      <w:r>
        <w:rPr>
          <w:rFonts w:ascii="仿宋_GB2312" w:eastAsia="仿宋_GB2312" w:cs="宋体"/>
          <w:kern w:val="0"/>
          <w:sz w:val="32"/>
          <w:szCs w:val="32"/>
          <w:lang w:val="zh-CN"/>
        </w:rPr>
        <w:t>201</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年度政府性基金预算财政拨款支出年初预算为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w:t>
      </w:r>
      <w:r>
        <w:rPr>
          <w:rFonts w:ascii="仿宋_GB2312" w:eastAsia="仿宋_GB2312" w:hAnsi="仿宋_GB2312" w:cs="仿宋_GB2312" w:hint="eastAsia"/>
          <w:sz w:val="32"/>
          <w:szCs w:val="32"/>
        </w:rPr>
        <w:t>完成年初预算的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。主要原因是</w:t>
      </w:r>
      <w:r>
        <w:rPr>
          <w:rFonts w:ascii="仿宋_GB2312" w:eastAsia="仿宋_GB2312" w:cs="宋体" w:hint="eastAsia"/>
          <w:kern w:val="0"/>
          <w:sz w:val="32"/>
          <w:szCs w:val="32"/>
          <w:lang w:val="zh-CN"/>
        </w:rPr>
        <w:t>我部门</w:t>
      </w:r>
      <w:r>
        <w:rPr>
          <w:rFonts w:ascii="仿宋_GB2312" w:eastAsia="仿宋_GB2312" w:cs="宋体" w:hint="eastAsia"/>
          <w:kern w:val="0"/>
          <w:sz w:val="32"/>
          <w:szCs w:val="32"/>
          <w:lang w:val="zh-CN"/>
        </w:rPr>
        <w:t>2019</w:t>
      </w:r>
      <w:r>
        <w:rPr>
          <w:rFonts w:ascii="仿宋_GB2312" w:eastAsia="仿宋_GB2312" w:cs="宋体" w:hint="eastAsia"/>
          <w:kern w:val="0"/>
          <w:sz w:val="32"/>
          <w:szCs w:val="32"/>
          <w:lang w:val="zh-CN"/>
        </w:rPr>
        <w:t>年度无政府性基金收入，也没有使用政府性基金安排的支出。</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十、机关运行经费支出情况说明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年度机关运行经费年初预算为</w:t>
      </w:r>
      <w:r>
        <w:rPr>
          <w:rFonts w:ascii="仿宋_GB2312" w:eastAsia="仿宋_GB2312" w:cs="宋体" w:hint="eastAsia"/>
          <w:kern w:val="0"/>
          <w:sz w:val="32"/>
          <w:szCs w:val="32"/>
          <w:lang w:val="zh-CN"/>
        </w:rPr>
        <w:t>108.11</w:t>
      </w:r>
      <w:r>
        <w:rPr>
          <w:rFonts w:ascii="仿宋_GB2312" w:eastAsia="仿宋_GB2312" w:cs="宋体" w:hint="eastAsia"/>
          <w:kern w:val="0"/>
          <w:sz w:val="32"/>
          <w:szCs w:val="32"/>
          <w:lang w:val="zh-CN"/>
        </w:rPr>
        <w:t>万元，支出决算</w:t>
      </w:r>
      <w:r>
        <w:rPr>
          <w:rFonts w:ascii="仿宋_GB2312" w:eastAsia="仿宋_GB2312" w:cs="宋体" w:hint="eastAsia"/>
          <w:kern w:val="0"/>
          <w:sz w:val="32"/>
          <w:szCs w:val="32"/>
          <w:lang w:val="zh-CN"/>
        </w:rPr>
        <w:lastRenderedPageBreak/>
        <w:t>为</w:t>
      </w:r>
      <w:r>
        <w:rPr>
          <w:rFonts w:ascii="仿宋_GB2312" w:eastAsia="仿宋_GB2312" w:cs="宋体" w:hint="eastAsia"/>
          <w:kern w:val="0"/>
          <w:sz w:val="32"/>
          <w:szCs w:val="32"/>
          <w:lang w:val="zh-CN"/>
        </w:rPr>
        <w:t>104.72</w:t>
      </w:r>
      <w:r>
        <w:rPr>
          <w:rFonts w:ascii="仿宋_GB2312" w:eastAsia="仿宋_GB2312" w:cs="宋体" w:hint="eastAsia"/>
          <w:kern w:val="0"/>
          <w:sz w:val="32"/>
          <w:szCs w:val="32"/>
          <w:lang w:val="zh-CN"/>
        </w:rPr>
        <w:t>万元，完成年初预算的</w:t>
      </w:r>
      <w:r>
        <w:rPr>
          <w:rFonts w:ascii="仿宋_GB2312" w:eastAsia="仿宋_GB2312" w:cs="宋体" w:hint="eastAsia"/>
          <w:kern w:val="0"/>
          <w:sz w:val="32"/>
          <w:szCs w:val="32"/>
          <w:lang w:val="zh-CN"/>
        </w:rPr>
        <w:t>96.86</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w:t>
      </w:r>
      <w:r>
        <w:rPr>
          <w:rFonts w:ascii="仿宋_GB2312" w:eastAsia="仿宋_GB2312" w:hAnsi="仿宋_GB2312" w:cs="仿宋_GB2312" w:hint="eastAsia"/>
          <w:sz w:val="32"/>
          <w:szCs w:val="32"/>
        </w:rPr>
        <w:t>比年初预算数减少</w:t>
      </w:r>
      <w:r>
        <w:rPr>
          <w:rFonts w:ascii="仿宋_GB2312" w:eastAsia="仿宋_GB2312" w:hAnsi="仿宋_GB2312" w:cs="仿宋_GB2312" w:hint="eastAsia"/>
          <w:sz w:val="32"/>
          <w:szCs w:val="32"/>
        </w:rPr>
        <w:t>3.39</w:t>
      </w:r>
      <w:r>
        <w:rPr>
          <w:rFonts w:ascii="仿宋_GB2312" w:eastAsia="仿宋_GB2312" w:hAnsi="仿宋_GB2312" w:cs="仿宋_GB2312" w:hint="eastAsia"/>
          <w:sz w:val="32"/>
          <w:szCs w:val="32"/>
        </w:rPr>
        <w:t>万元，降低</w:t>
      </w:r>
      <w:r>
        <w:rPr>
          <w:rFonts w:ascii="仿宋_GB2312" w:eastAsia="仿宋_GB2312" w:hAnsi="仿宋_GB2312" w:cs="仿宋_GB2312" w:hint="eastAsia"/>
          <w:sz w:val="32"/>
          <w:szCs w:val="32"/>
        </w:rPr>
        <w:t>3.74%</w:t>
      </w:r>
      <w:r>
        <w:rPr>
          <w:rFonts w:ascii="仿宋_GB2312" w:eastAsia="仿宋_GB2312" w:hAnsi="仿宋_GB2312" w:cs="仿宋_GB2312" w:hint="eastAsia"/>
          <w:sz w:val="32"/>
          <w:szCs w:val="32"/>
        </w:rPr>
        <w:t>。</w:t>
      </w:r>
      <w:r>
        <w:rPr>
          <w:rFonts w:ascii="仿宋_GB2312" w:eastAsia="仿宋_GB2312" w:cs="宋体" w:hint="eastAsia"/>
          <w:kern w:val="0"/>
          <w:sz w:val="32"/>
          <w:szCs w:val="32"/>
          <w:lang w:val="zh-CN"/>
        </w:rPr>
        <w:t>决算数与年初预算数存在差异的主要原因是公用经费预算安排更科学、支出更合理，使用财政资金更高效也更节约。</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十一、政府采购支出情况说明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w:t>
      </w: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年度政府采购支出总额</w:t>
      </w:r>
      <w:r>
        <w:rPr>
          <w:rFonts w:ascii="仿宋_GB2312" w:eastAsia="仿宋_GB2312" w:cs="宋体" w:hint="eastAsia"/>
          <w:kern w:val="0"/>
          <w:sz w:val="32"/>
          <w:szCs w:val="32"/>
          <w:lang w:val="zh-CN"/>
        </w:rPr>
        <w:t>88.</w:t>
      </w:r>
      <w:r>
        <w:rPr>
          <w:rFonts w:ascii="仿宋_GB2312" w:eastAsia="仿宋_GB2312" w:cs="宋体" w:hint="eastAsia"/>
          <w:kern w:val="0"/>
          <w:sz w:val="32"/>
          <w:szCs w:val="32"/>
        </w:rPr>
        <w:t>7</w:t>
      </w: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万元，其中：政府采购货物支出</w:t>
      </w:r>
      <w:r>
        <w:rPr>
          <w:rFonts w:ascii="仿宋_GB2312" w:eastAsia="仿宋_GB2312" w:cs="宋体" w:hint="eastAsia"/>
          <w:kern w:val="0"/>
          <w:sz w:val="32"/>
          <w:szCs w:val="32"/>
        </w:rPr>
        <w:t>8.95</w:t>
      </w:r>
      <w:r>
        <w:rPr>
          <w:rFonts w:ascii="仿宋_GB2312" w:eastAsia="仿宋_GB2312" w:cs="宋体" w:hint="eastAsia"/>
          <w:kern w:val="0"/>
          <w:sz w:val="32"/>
          <w:szCs w:val="32"/>
          <w:lang w:val="zh-CN"/>
        </w:rPr>
        <w:t>万元、政府采购工程支出</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万元、政府采购服务支出</w:t>
      </w:r>
      <w:r>
        <w:rPr>
          <w:rFonts w:ascii="仿宋_GB2312" w:eastAsia="仿宋_GB2312" w:cs="宋体" w:hint="eastAsia"/>
          <w:kern w:val="0"/>
          <w:sz w:val="32"/>
          <w:szCs w:val="32"/>
          <w:lang w:val="zh-CN"/>
        </w:rPr>
        <w:t>79.8</w:t>
      </w:r>
      <w:r>
        <w:rPr>
          <w:rFonts w:ascii="仿宋_GB2312" w:eastAsia="仿宋_GB2312" w:cs="宋体" w:hint="eastAsia"/>
          <w:kern w:val="0"/>
          <w:sz w:val="32"/>
          <w:szCs w:val="32"/>
          <w:lang w:val="zh-CN"/>
        </w:rPr>
        <w:t>万元。授予中小企业合同金额</w:t>
      </w:r>
      <w:r>
        <w:rPr>
          <w:rFonts w:ascii="仿宋_GB2312" w:eastAsia="仿宋_GB2312" w:cs="宋体" w:hint="eastAsia"/>
          <w:kern w:val="0"/>
          <w:sz w:val="32"/>
          <w:szCs w:val="32"/>
        </w:rPr>
        <w:t>88.75</w:t>
      </w:r>
      <w:r>
        <w:rPr>
          <w:rFonts w:ascii="仿宋_GB2312" w:eastAsia="仿宋_GB2312" w:cs="宋体" w:hint="eastAsia"/>
          <w:kern w:val="0"/>
          <w:sz w:val="32"/>
          <w:szCs w:val="32"/>
          <w:lang w:val="zh-CN"/>
        </w:rPr>
        <w:t>万元，占政府采购支出总额的</w:t>
      </w:r>
      <w:r>
        <w:rPr>
          <w:rFonts w:ascii="仿宋_GB2312" w:eastAsia="仿宋_GB2312" w:cs="宋体" w:hint="eastAsia"/>
          <w:kern w:val="0"/>
          <w:sz w:val="32"/>
          <w:szCs w:val="32"/>
        </w:rPr>
        <w:t>100</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，其中：授予小微企业合同金额</w:t>
      </w:r>
      <w:r>
        <w:rPr>
          <w:rFonts w:ascii="仿宋_GB2312" w:eastAsia="仿宋_GB2312" w:cs="宋体" w:hint="eastAsia"/>
          <w:kern w:val="0"/>
          <w:sz w:val="32"/>
          <w:szCs w:val="32"/>
          <w:lang w:val="zh-CN"/>
        </w:rPr>
        <w:t>88.</w:t>
      </w:r>
      <w:r>
        <w:rPr>
          <w:rFonts w:ascii="仿宋_GB2312" w:eastAsia="仿宋_GB2312" w:cs="宋体" w:hint="eastAsia"/>
          <w:kern w:val="0"/>
          <w:sz w:val="32"/>
          <w:szCs w:val="32"/>
        </w:rPr>
        <w:t>7</w:t>
      </w: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万元，占政府采购支出总额的</w:t>
      </w:r>
      <w:r>
        <w:rPr>
          <w:rFonts w:ascii="仿宋_GB2312" w:eastAsia="仿宋_GB2312" w:cs="宋体" w:hint="eastAsia"/>
          <w:kern w:val="0"/>
          <w:sz w:val="32"/>
          <w:szCs w:val="32"/>
          <w:lang w:val="zh-CN"/>
        </w:rPr>
        <w:t>100</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w:t>
      </w:r>
    </w:p>
    <w:p w:rsidR="00117C2F" w:rsidRDefault="00F3246D">
      <w:pPr>
        <w:autoSpaceDE w:val="0"/>
        <w:autoSpaceDN w:val="0"/>
        <w:adjustRightInd w:val="0"/>
        <w:spacing w:line="570" w:lineRule="exact"/>
        <w:ind w:firstLineChars="200" w:firstLine="64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十二、国有资产占用情况说明</w:t>
      </w:r>
    </w:p>
    <w:p w:rsidR="00117C2F" w:rsidRDefault="00F3246D">
      <w:pPr>
        <w:autoSpaceDE w:val="0"/>
        <w:autoSpaceDN w:val="0"/>
        <w:adjustRightInd w:val="0"/>
        <w:spacing w:line="570" w:lineRule="exact"/>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2019</w:t>
      </w:r>
      <w:r>
        <w:rPr>
          <w:rFonts w:ascii="仿宋_GB2312" w:eastAsia="仿宋_GB2312" w:cs="宋体" w:hint="eastAsia"/>
          <w:kern w:val="0"/>
          <w:sz w:val="32"/>
          <w:szCs w:val="32"/>
          <w:lang w:val="zh-CN"/>
        </w:rPr>
        <w:t>年期末，我部门共有车辆</w:t>
      </w:r>
      <w:r>
        <w:rPr>
          <w:rFonts w:ascii="仿宋_GB2312" w:eastAsia="仿宋_GB2312" w:cs="宋体" w:hint="eastAsia"/>
          <w:kern w:val="0"/>
          <w:sz w:val="32"/>
          <w:szCs w:val="32"/>
        </w:rPr>
        <w:t>9</w:t>
      </w:r>
      <w:r>
        <w:rPr>
          <w:rFonts w:ascii="仿宋_GB2312" w:eastAsia="仿宋_GB2312" w:cs="宋体" w:hint="eastAsia"/>
          <w:kern w:val="0"/>
          <w:sz w:val="32"/>
          <w:szCs w:val="32"/>
          <w:lang w:val="zh-CN"/>
        </w:rPr>
        <w:t>辆，其中：机要通信用车</w:t>
      </w: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辆、应急保障车</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辆、执法执勤用车</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辆、特种专业技术用车</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辆、离退休干部用车</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辆、其他用车</w:t>
      </w:r>
      <w:r>
        <w:rPr>
          <w:rFonts w:ascii="仿宋_GB2312" w:eastAsia="仿宋_GB2312" w:cs="宋体" w:hint="eastAsia"/>
          <w:kern w:val="0"/>
          <w:sz w:val="32"/>
          <w:szCs w:val="32"/>
        </w:rPr>
        <w:t>8</w:t>
      </w:r>
      <w:r>
        <w:rPr>
          <w:rFonts w:ascii="仿宋_GB2312" w:eastAsia="仿宋_GB2312" w:cs="宋体" w:hint="eastAsia"/>
          <w:kern w:val="0"/>
          <w:sz w:val="32"/>
          <w:szCs w:val="32"/>
          <w:lang w:val="zh-CN"/>
        </w:rPr>
        <w:t>辆，</w:t>
      </w:r>
      <w:r>
        <w:rPr>
          <w:rFonts w:ascii="仿宋_GB2312" w:eastAsia="仿宋_GB2312" w:hAnsi="仿宋_GB2312" w:cs="仿宋_GB2312" w:hint="eastAsia"/>
          <w:sz w:val="32"/>
          <w:szCs w:val="32"/>
        </w:rPr>
        <w:t>其他用车主要是保障部机关</w:t>
      </w:r>
      <w:r>
        <w:rPr>
          <w:rFonts w:ascii="仿宋_GB2312" w:eastAsia="仿宋_GB2312" w:hAnsi="仿宋_GB2312" w:cs="仿宋_GB2312" w:hint="eastAsia"/>
          <w:sz w:val="32"/>
          <w:szCs w:val="32"/>
        </w:rPr>
        <w:t>、驻新记者站、指挥部</w:t>
      </w:r>
      <w:r>
        <w:rPr>
          <w:rFonts w:ascii="仿宋_GB2312" w:eastAsia="仿宋_GB2312" w:hAnsi="仿宋_GB2312" w:cs="仿宋_GB2312" w:hint="eastAsia"/>
          <w:sz w:val="32"/>
          <w:szCs w:val="32"/>
        </w:rPr>
        <w:t>公务活动使用</w:t>
      </w:r>
      <w:r>
        <w:rPr>
          <w:rFonts w:ascii="仿宋_GB2312" w:eastAsia="仿宋_GB2312" w:cs="宋体" w:hint="eastAsia"/>
          <w:kern w:val="0"/>
          <w:sz w:val="32"/>
          <w:szCs w:val="32"/>
          <w:lang w:val="zh-CN"/>
        </w:rPr>
        <w:t>；单位价值</w:t>
      </w:r>
      <w:r>
        <w:rPr>
          <w:rFonts w:ascii="仿宋_GB2312" w:eastAsia="仿宋_GB2312" w:cs="宋体" w:hint="eastAsia"/>
          <w:kern w:val="0"/>
          <w:sz w:val="32"/>
          <w:szCs w:val="32"/>
          <w:lang w:val="zh-CN"/>
        </w:rPr>
        <w:t>50</w:t>
      </w:r>
      <w:r>
        <w:rPr>
          <w:rFonts w:ascii="仿宋_GB2312" w:eastAsia="仿宋_GB2312" w:cs="宋体" w:hint="eastAsia"/>
          <w:kern w:val="0"/>
          <w:sz w:val="32"/>
          <w:szCs w:val="32"/>
          <w:lang w:val="zh-CN"/>
        </w:rPr>
        <w:t>万元以上通用设备</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台（套），单位价值</w:t>
      </w:r>
      <w:r>
        <w:rPr>
          <w:rFonts w:ascii="仿宋_GB2312" w:eastAsia="仿宋_GB2312" w:cs="宋体" w:hint="eastAsia"/>
          <w:kern w:val="0"/>
          <w:sz w:val="32"/>
          <w:szCs w:val="32"/>
          <w:lang w:val="zh-CN"/>
        </w:rPr>
        <w:t>100</w:t>
      </w:r>
      <w:r>
        <w:rPr>
          <w:rFonts w:ascii="仿宋_GB2312" w:eastAsia="仿宋_GB2312" w:cs="宋体" w:hint="eastAsia"/>
          <w:kern w:val="0"/>
          <w:sz w:val="32"/>
          <w:szCs w:val="32"/>
          <w:lang w:val="zh-CN"/>
        </w:rPr>
        <w:t>万元以上专用设备</w:t>
      </w:r>
      <w:r>
        <w:rPr>
          <w:rFonts w:ascii="仿宋_GB2312" w:eastAsia="仿宋_GB2312" w:cs="宋体" w:hint="eastAsia"/>
          <w:kern w:val="0"/>
          <w:sz w:val="32"/>
          <w:szCs w:val="32"/>
          <w:lang w:val="zh-CN"/>
        </w:rPr>
        <w:t>0</w:t>
      </w:r>
      <w:r>
        <w:rPr>
          <w:rFonts w:ascii="仿宋_GB2312" w:eastAsia="仿宋_GB2312" w:cs="宋体" w:hint="eastAsia"/>
          <w:kern w:val="0"/>
          <w:sz w:val="32"/>
          <w:szCs w:val="32"/>
          <w:lang w:val="zh-CN"/>
        </w:rPr>
        <w:t>台（套），（包含部机关</w:t>
      </w: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辆、指挥部</w:t>
      </w: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辆、省</w:t>
      </w:r>
      <w:bookmarkStart w:id="0" w:name="_GoBack"/>
      <w:bookmarkEnd w:id="0"/>
      <w:r>
        <w:rPr>
          <w:rFonts w:ascii="仿宋_GB2312" w:eastAsia="仿宋_GB2312" w:cs="宋体" w:hint="eastAsia"/>
          <w:kern w:val="0"/>
          <w:sz w:val="32"/>
          <w:szCs w:val="32"/>
          <w:lang w:val="zh-CN"/>
        </w:rPr>
        <w:t>主流媒体驻新记者站</w:t>
      </w: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辆）。</w:t>
      </w:r>
    </w:p>
    <w:p w:rsidR="00117C2F" w:rsidRDefault="00117C2F">
      <w:pPr>
        <w:widowControl/>
        <w:jc w:val="left"/>
        <w:rPr>
          <w:rFonts w:ascii="楷体_GB2312" w:eastAsia="楷体_GB2312" w:hAnsi="楷体_GB2312" w:cs="楷体_GB2312"/>
          <w:sz w:val="32"/>
          <w:szCs w:val="32"/>
        </w:rPr>
        <w:sectPr w:rsidR="00117C2F">
          <w:pgSz w:w="11906" w:h="16838"/>
          <w:pgMar w:top="1440" w:right="1531" w:bottom="1440" w:left="1588" w:header="720" w:footer="720" w:gutter="0"/>
          <w:pgNumType w:fmt="numberInDash"/>
          <w:cols w:space="720"/>
          <w:docGrid w:linePitch="312"/>
        </w:sect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117C2F">
      <w:pPr>
        <w:jc w:val="left"/>
        <w:rPr>
          <w:rFonts w:ascii="黑体" w:eastAsia="黑体" w:hAnsi="黑体" w:cs="黑体"/>
          <w:sz w:val="32"/>
          <w:szCs w:val="32"/>
        </w:rPr>
      </w:pPr>
    </w:p>
    <w:p w:rsidR="00117C2F" w:rsidRDefault="00F3246D">
      <w:pPr>
        <w:jc w:val="center"/>
        <w:rPr>
          <w:rFonts w:ascii="黑体" w:eastAsia="黑体" w:hAnsi="黑体" w:cs="黑体"/>
          <w:sz w:val="48"/>
          <w:szCs w:val="48"/>
        </w:rPr>
      </w:pPr>
      <w:r>
        <w:rPr>
          <w:rFonts w:ascii="黑体" w:eastAsia="黑体" w:hAnsi="黑体" w:cs="黑体" w:hint="eastAsia"/>
          <w:sz w:val="48"/>
          <w:szCs w:val="48"/>
        </w:rPr>
        <w:t>第四部分　　名词解释</w:t>
      </w:r>
    </w:p>
    <w:p w:rsidR="00117C2F" w:rsidRDefault="00117C2F">
      <w:pPr>
        <w:jc w:val="center"/>
        <w:outlineLvl w:val="0"/>
        <w:rPr>
          <w:rFonts w:ascii="黑体" w:eastAsia="黑体" w:hAnsi="黑体" w:cs="黑体"/>
          <w:sz w:val="48"/>
          <w:szCs w:val="48"/>
        </w:rPr>
      </w:pPr>
    </w:p>
    <w:p w:rsidR="00117C2F" w:rsidRDefault="00117C2F">
      <w:pPr>
        <w:jc w:val="center"/>
        <w:outlineLvl w:val="0"/>
        <w:rPr>
          <w:rFonts w:ascii="黑体" w:eastAsia="黑体" w:hAnsi="黑体" w:cs="黑体"/>
          <w:sz w:val="48"/>
          <w:szCs w:val="48"/>
        </w:rPr>
        <w:sectPr w:rsidR="00117C2F">
          <w:pgSz w:w="11906" w:h="16838"/>
          <w:pgMar w:top="2098" w:right="1474" w:bottom="1985" w:left="1588" w:header="850" w:footer="992" w:gutter="0"/>
          <w:pgNumType w:fmt="numberInDash"/>
          <w:cols w:space="720"/>
          <w:docGrid w:linePitch="317"/>
        </w:sectPr>
      </w:pP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w:t>
      </w:r>
      <w:r>
        <w:rPr>
          <w:rFonts w:ascii="仿宋_GB2312" w:eastAsia="仿宋_GB2312" w:hAnsi="仿宋_GB2312" w:cs="仿宋_GB2312" w:hint="eastAsia"/>
          <w:sz w:val="32"/>
          <w:szCs w:val="32"/>
        </w:rPr>
        <w:t>累的事业基金（事业单位当年收支相抵后按国家规定提取、用于弥补以后年度收支差额的基金）弥补当年收支缺口的资金。</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w:t>
      </w:r>
      <w:r>
        <w:rPr>
          <w:rFonts w:ascii="仿宋_GB2312" w:eastAsia="仿宋_GB2312" w:hAnsi="仿宋_GB2312" w:cs="仿宋_GB2312" w:hint="eastAsia"/>
          <w:sz w:val="32"/>
          <w:szCs w:val="32"/>
        </w:rPr>
        <w:t>车购置及运行费反映反映单位公务用车车辆购置支出（含车辆购置税）及租用费、燃料费、维修费、过路过桥费、保险费、安全奖励费用等支出；公务接待费反映单位按规定开支的各类公务接待（含外宾接待）支出。</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w:t>
      </w:r>
      <w:r>
        <w:rPr>
          <w:rFonts w:ascii="仿宋_GB2312" w:eastAsia="仿宋_GB2312" w:hAnsi="仿宋_GB2312" w:cs="仿宋_GB2312" w:hint="eastAsia"/>
          <w:sz w:val="32"/>
          <w:szCs w:val="32"/>
        </w:rPr>
        <w:t>长期聘用人员的各类劳动报酬，以及为上述人员缴纳的各项社会保险费等。</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117C2F" w:rsidRDefault="00F3246D">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117C2F" w:rsidRDefault="00F3246D">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117C2F" w:rsidSect="00117C2F">
      <w:pgSz w:w="11906" w:h="16838"/>
      <w:pgMar w:top="2098" w:right="1474" w:bottom="1985"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46D" w:rsidRDefault="00F3246D" w:rsidP="00117C2F">
      <w:r>
        <w:separator/>
      </w:r>
    </w:p>
  </w:endnote>
  <w:endnote w:type="continuationSeparator" w:id="1">
    <w:p w:rsidR="00F3246D" w:rsidRDefault="00F3246D" w:rsidP="00117C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48521"/>
    </w:sdtPr>
    <w:sdtContent>
      <w:p w:rsidR="00117C2F" w:rsidRDefault="00117C2F">
        <w:pPr>
          <w:pStyle w:val="a5"/>
          <w:jc w:val="center"/>
        </w:pPr>
        <w:r>
          <w:fldChar w:fldCharType="begin"/>
        </w:r>
        <w:r w:rsidR="00F3246D">
          <w:instrText xml:space="preserve"> PAGE   \* MERGEFORMAT </w:instrText>
        </w:r>
        <w:r>
          <w:fldChar w:fldCharType="separate"/>
        </w:r>
        <w:r w:rsidR="00A63715" w:rsidRPr="00A63715">
          <w:rPr>
            <w:noProof/>
            <w:lang w:val="zh-CN"/>
          </w:rPr>
          <w:t>-</w:t>
        </w:r>
        <w:r w:rsidR="00A63715">
          <w:rPr>
            <w:noProof/>
          </w:rPr>
          <w:t xml:space="preserve"> 28 -</w:t>
        </w:r>
        <w:r>
          <w:fldChar w:fldCharType="end"/>
        </w:r>
      </w:p>
    </w:sdtContent>
  </w:sdt>
  <w:p w:rsidR="00117C2F" w:rsidRDefault="00117C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48522"/>
    </w:sdtPr>
    <w:sdtContent>
      <w:p w:rsidR="00117C2F" w:rsidRDefault="00117C2F">
        <w:pPr>
          <w:pStyle w:val="a5"/>
          <w:jc w:val="center"/>
        </w:pPr>
        <w:r>
          <w:fldChar w:fldCharType="begin"/>
        </w:r>
        <w:r w:rsidR="00F3246D">
          <w:instrText xml:space="preserve"> PAGE   \* MERGEFORMAT </w:instrText>
        </w:r>
        <w:r>
          <w:fldChar w:fldCharType="separate"/>
        </w:r>
        <w:r w:rsidR="00A63715" w:rsidRPr="00A63715">
          <w:rPr>
            <w:noProof/>
            <w:lang w:val="zh-CN"/>
          </w:rPr>
          <w:t>-</w:t>
        </w:r>
        <w:r w:rsidR="00A63715">
          <w:rPr>
            <w:noProof/>
          </w:rPr>
          <w:t xml:space="preserve"> 1 -</w:t>
        </w:r>
        <w:r>
          <w:fldChar w:fldCharType="end"/>
        </w:r>
      </w:p>
    </w:sdtContent>
  </w:sdt>
  <w:p w:rsidR="00117C2F" w:rsidRDefault="00117C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2F" w:rsidRDefault="00117C2F">
    <w:pPr>
      <w:pStyle w:val="a5"/>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AI5fDzaAQAAswMAAA4AAAAAAAAAAQAg&#10;AAAAHgEAAGRycy9lMm9Eb2MueG1sUEsFBgAAAAAGAAYAWQEAAGoFAAAAAA==&#10;" filled="f" stroked="f">
          <v:textbox style="mso-fit-shape-to-text:t" inset="0,0,0,0">
            <w:txbxContent>
              <w:p w:rsidR="00117C2F" w:rsidRDefault="00117C2F"/>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46D" w:rsidRDefault="00F3246D" w:rsidP="00117C2F">
      <w:r>
        <w:separator/>
      </w:r>
    </w:p>
  </w:footnote>
  <w:footnote w:type="continuationSeparator" w:id="1">
    <w:p w:rsidR="00F3246D" w:rsidRDefault="00F3246D" w:rsidP="00117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2F" w:rsidRDefault="00117C2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270E8"/>
    <w:rsid w:val="00001CB9"/>
    <w:rsid w:val="00002C4A"/>
    <w:rsid w:val="00003DC9"/>
    <w:rsid w:val="00012B94"/>
    <w:rsid w:val="00022CC4"/>
    <w:rsid w:val="00024A26"/>
    <w:rsid w:val="000270E8"/>
    <w:rsid w:val="000276D9"/>
    <w:rsid w:val="00032FBC"/>
    <w:rsid w:val="00044520"/>
    <w:rsid w:val="00057AFD"/>
    <w:rsid w:val="0006481C"/>
    <w:rsid w:val="00071AFE"/>
    <w:rsid w:val="00073205"/>
    <w:rsid w:val="00076410"/>
    <w:rsid w:val="00086484"/>
    <w:rsid w:val="00086C43"/>
    <w:rsid w:val="00095DD1"/>
    <w:rsid w:val="000A0F07"/>
    <w:rsid w:val="000B17CB"/>
    <w:rsid w:val="000B3001"/>
    <w:rsid w:val="000B4A52"/>
    <w:rsid w:val="000B5F0C"/>
    <w:rsid w:val="000C1546"/>
    <w:rsid w:val="000C3A64"/>
    <w:rsid w:val="000C4B31"/>
    <w:rsid w:val="000C513F"/>
    <w:rsid w:val="000D221A"/>
    <w:rsid w:val="000D57EA"/>
    <w:rsid w:val="000E0794"/>
    <w:rsid w:val="000E0BB4"/>
    <w:rsid w:val="000E2562"/>
    <w:rsid w:val="000E6A46"/>
    <w:rsid w:val="000E7336"/>
    <w:rsid w:val="000F2B2D"/>
    <w:rsid w:val="001003F8"/>
    <w:rsid w:val="00106211"/>
    <w:rsid w:val="0010689C"/>
    <w:rsid w:val="00111AE6"/>
    <w:rsid w:val="00113218"/>
    <w:rsid w:val="00117C2F"/>
    <w:rsid w:val="00123044"/>
    <w:rsid w:val="00127A16"/>
    <w:rsid w:val="00127D05"/>
    <w:rsid w:val="001312F8"/>
    <w:rsid w:val="0013463C"/>
    <w:rsid w:val="001348CF"/>
    <w:rsid w:val="001362F4"/>
    <w:rsid w:val="00144159"/>
    <w:rsid w:val="0014693F"/>
    <w:rsid w:val="00154C34"/>
    <w:rsid w:val="00157EC4"/>
    <w:rsid w:val="00163C2D"/>
    <w:rsid w:val="001718A8"/>
    <w:rsid w:val="00182842"/>
    <w:rsid w:val="00183C2A"/>
    <w:rsid w:val="00183D41"/>
    <w:rsid w:val="00186B54"/>
    <w:rsid w:val="001905F2"/>
    <w:rsid w:val="00194EFE"/>
    <w:rsid w:val="001B00B3"/>
    <w:rsid w:val="001B271C"/>
    <w:rsid w:val="001C3B8D"/>
    <w:rsid w:val="001C4443"/>
    <w:rsid w:val="001C7ECF"/>
    <w:rsid w:val="001D61B1"/>
    <w:rsid w:val="001E1D1E"/>
    <w:rsid w:val="001E2A96"/>
    <w:rsid w:val="001E376E"/>
    <w:rsid w:val="001E5DE2"/>
    <w:rsid w:val="001F2A3F"/>
    <w:rsid w:val="001F5040"/>
    <w:rsid w:val="001F5CD3"/>
    <w:rsid w:val="002006EB"/>
    <w:rsid w:val="00200A66"/>
    <w:rsid w:val="00203906"/>
    <w:rsid w:val="00205EAE"/>
    <w:rsid w:val="00212CBD"/>
    <w:rsid w:val="00214405"/>
    <w:rsid w:val="00226E6D"/>
    <w:rsid w:val="00227ADC"/>
    <w:rsid w:val="00231778"/>
    <w:rsid w:val="0024268A"/>
    <w:rsid w:val="00246F74"/>
    <w:rsid w:val="00251DBA"/>
    <w:rsid w:val="002523E7"/>
    <w:rsid w:val="00252EAD"/>
    <w:rsid w:val="00254977"/>
    <w:rsid w:val="002551E5"/>
    <w:rsid w:val="00260D70"/>
    <w:rsid w:val="00272BCF"/>
    <w:rsid w:val="00280E2F"/>
    <w:rsid w:val="00282C7F"/>
    <w:rsid w:val="00283F90"/>
    <w:rsid w:val="00284467"/>
    <w:rsid w:val="00287811"/>
    <w:rsid w:val="00290FF0"/>
    <w:rsid w:val="002A433E"/>
    <w:rsid w:val="002B3F94"/>
    <w:rsid w:val="002C37A1"/>
    <w:rsid w:val="002C3A20"/>
    <w:rsid w:val="002D39FB"/>
    <w:rsid w:val="002D45C0"/>
    <w:rsid w:val="002E6A86"/>
    <w:rsid w:val="002F3B97"/>
    <w:rsid w:val="00304D04"/>
    <w:rsid w:val="00305B88"/>
    <w:rsid w:val="0031497B"/>
    <w:rsid w:val="00315FEB"/>
    <w:rsid w:val="00316724"/>
    <w:rsid w:val="00320272"/>
    <w:rsid w:val="0033436B"/>
    <w:rsid w:val="0034092F"/>
    <w:rsid w:val="00340A94"/>
    <w:rsid w:val="00346571"/>
    <w:rsid w:val="00353429"/>
    <w:rsid w:val="0035633F"/>
    <w:rsid w:val="00360F68"/>
    <w:rsid w:val="003775AB"/>
    <w:rsid w:val="00380488"/>
    <w:rsid w:val="00386947"/>
    <w:rsid w:val="003873D7"/>
    <w:rsid w:val="00393600"/>
    <w:rsid w:val="003A2182"/>
    <w:rsid w:val="003A2914"/>
    <w:rsid w:val="003A61E8"/>
    <w:rsid w:val="003A7406"/>
    <w:rsid w:val="003A77B7"/>
    <w:rsid w:val="003B3C59"/>
    <w:rsid w:val="003B4BEE"/>
    <w:rsid w:val="003B6FEC"/>
    <w:rsid w:val="003E1CC1"/>
    <w:rsid w:val="003E20CF"/>
    <w:rsid w:val="003E4088"/>
    <w:rsid w:val="003E746B"/>
    <w:rsid w:val="003F03DD"/>
    <w:rsid w:val="003F2B4D"/>
    <w:rsid w:val="003F601B"/>
    <w:rsid w:val="0040339E"/>
    <w:rsid w:val="004126C1"/>
    <w:rsid w:val="0041596D"/>
    <w:rsid w:val="00423264"/>
    <w:rsid w:val="004237AE"/>
    <w:rsid w:val="0042585F"/>
    <w:rsid w:val="00432739"/>
    <w:rsid w:val="00433BF9"/>
    <w:rsid w:val="004378EC"/>
    <w:rsid w:val="00445CAC"/>
    <w:rsid w:val="00457A3C"/>
    <w:rsid w:val="00457BBA"/>
    <w:rsid w:val="00460831"/>
    <w:rsid w:val="00461408"/>
    <w:rsid w:val="0046474D"/>
    <w:rsid w:val="00467001"/>
    <w:rsid w:val="00472E19"/>
    <w:rsid w:val="0047408E"/>
    <w:rsid w:val="00487869"/>
    <w:rsid w:val="00490C29"/>
    <w:rsid w:val="004A026A"/>
    <w:rsid w:val="004A5C1F"/>
    <w:rsid w:val="004A7779"/>
    <w:rsid w:val="004B0A1C"/>
    <w:rsid w:val="004B24A8"/>
    <w:rsid w:val="004B2B7A"/>
    <w:rsid w:val="004B784A"/>
    <w:rsid w:val="004C5187"/>
    <w:rsid w:val="004D5275"/>
    <w:rsid w:val="004E3FE5"/>
    <w:rsid w:val="004E5BA9"/>
    <w:rsid w:val="004E5C29"/>
    <w:rsid w:val="004E79B7"/>
    <w:rsid w:val="004F47FE"/>
    <w:rsid w:val="004F61EE"/>
    <w:rsid w:val="004F7EFA"/>
    <w:rsid w:val="00507364"/>
    <w:rsid w:val="005144E5"/>
    <w:rsid w:val="0051640F"/>
    <w:rsid w:val="00526536"/>
    <w:rsid w:val="00527E7A"/>
    <w:rsid w:val="005448EB"/>
    <w:rsid w:val="00546F7C"/>
    <w:rsid w:val="00550231"/>
    <w:rsid w:val="0055159B"/>
    <w:rsid w:val="00561E53"/>
    <w:rsid w:val="00561F9E"/>
    <w:rsid w:val="0056770D"/>
    <w:rsid w:val="00590D9F"/>
    <w:rsid w:val="00596C2F"/>
    <w:rsid w:val="005A0C2F"/>
    <w:rsid w:val="005A0C8E"/>
    <w:rsid w:val="005A626C"/>
    <w:rsid w:val="005B0A21"/>
    <w:rsid w:val="005B1AE2"/>
    <w:rsid w:val="005B2FC2"/>
    <w:rsid w:val="005C3E82"/>
    <w:rsid w:val="005E2365"/>
    <w:rsid w:val="005E4643"/>
    <w:rsid w:val="005E6E4E"/>
    <w:rsid w:val="005F2633"/>
    <w:rsid w:val="005F4144"/>
    <w:rsid w:val="005F46F4"/>
    <w:rsid w:val="005F5E81"/>
    <w:rsid w:val="005F7F42"/>
    <w:rsid w:val="006059B1"/>
    <w:rsid w:val="00610575"/>
    <w:rsid w:val="00611E01"/>
    <w:rsid w:val="00614266"/>
    <w:rsid w:val="006228C4"/>
    <w:rsid w:val="00626895"/>
    <w:rsid w:val="00630339"/>
    <w:rsid w:val="00630586"/>
    <w:rsid w:val="00635609"/>
    <w:rsid w:val="00636C6C"/>
    <w:rsid w:val="00642E55"/>
    <w:rsid w:val="006477A6"/>
    <w:rsid w:val="00650696"/>
    <w:rsid w:val="00650FB9"/>
    <w:rsid w:val="006512DD"/>
    <w:rsid w:val="006566E0"/>
    <w:rsid w:val="00656BEF"/>
    <w:rsid w:val="00656D75"/>
    <w:rsid w:val="00657E86"/>
    <w:rsid w:val="00660F5E"/>
    <w:rsid w:val="006640A0"/>
    <w:rsid w:val="00670359"/>
    <w:rsid w:val="00673EF7"/>
    <w:rsid w:val="00681917"/>
    <w:rsid w:val="0069449E"/>
    <w:rsid w:val="006A1F99"/>
    <w:rsid w:val="006A1FC6"/>
    <w:rsid w:val="006A6765"/>
    <w:rsid w:val="006B1384"/>
    <w:rsid w:val="006B2E84"/>
    <w:rsid w:val="006C07F0"/>
    <w:rsid w:val="006C5D95"/>
    <w:rsid w:val="006C644A"/>
    <w:rsid w:val="006C7D84"/>
    <w:rsid w:val="006D33C1"/>
    <w:rsid w:val="006E0E17"/>
    <w:rsid w:val="006E2AA1"/>
    <w:rsid w:val="006E3359"/>
    <w:rsid w:val="006E5C97"/>
    <w:rsid w:val="00705119"/>
    <w:rsid w:val="00710DCA"/>
    <w:rsid w:val="007148E8"/>
    <w:rsid w:val="007173B9"/>
    <w:rsid w:val="00717B26"/>
    <w:rsid w:val="00717D3C"/>
    <w:rsid w:val="007322C3"/>
    <w:rsid w:val="00733DAA"/>
    <w:rsid w:val="00741476"/>
    <w:rsid w:val="00742BA0"/>
    <w:rsid w:val="00750CED"/>
    <w:rsid w:val="00751EC6"/>
    <w:rsid w:val="00753545"/>
    <w:rsid w:val="00755BD4"/>
    <w:rsid w:val="00763464"/>
    <w:rsid w:val="00764156"/>
    <w:rsid w:val="007706D7"/>
    <w:rsid w:val="00771F66"/>
    <w:rsid w:val="007821CA"/>
    <w:rsid w:val="00783B32"/>
    <w:rsid w:val="00783B84"/>
    <w:rsid w:val="00787723"/>
    <w:rsid w:val="007879ED"/>
    <w:rsid w:val="007A26D0"/>
    <w:rsid w:val="007A2739"/>
    <w:rsid w:val="007A48A3"/>
    <w:rsid w:val="007A6EBE"/>
    <w:rsid w:val="007C029F"/>
    <w:rsid w:val="007C3B67"/>
    <w:rsid w:val="007C7F49"/>
    <w:rsid w:val="007D2A21"/>
    <w:rsid w:val="007F07A8"/>
    <w:rsid w:val="007F3967"/>
    <w:rsid w:val="0081094B"/>
    <w:rsid w:val="00821076"/>
    <w:rsid w:val="008272C5"/>
    <w:rsid w:val="008273C9"/>
    <w:rsid w:val="008302EE"/>
    <w:rsid w:val="00843461"/>
    <w:rsid w:val="00845108"/>
    <w:rsid w:val="00853740"/>
    <w:rsid w:val="00861915"/>
    <w:rsid w:val="00865F9D"/>
    <w:rsid w:val="00871E08"/>
    <w:rsid w:val="00872946"/>
    <w:rsid w:val="00875BB0"/>
    <w:rsid w:val="00876BCD"/>
    <w:rsid w:val="0088023A"/>
    <w:rsid w:val="008858FB"/>
    <w:rsid w:val="00885B3F"/>
    <w:rsid w:val="00893BEE"/>
    <w:rsid w:val="00894B41"/>
    <w:rsid w:val="008A34A4"/>
    <w:rsid w:val="008B13DD"/>
    <w:rsid w:val="008B4A27"/>
    <w:rsid w:val="008B5427"/>
    <w:rsid w:val="008C1CF5"/>
    <w:rsid w:val="008C4D62"/>
    <w:rsid w:val="008E4D45"/>
    <w:rsid w:val="008E4FCF"/>
    <w:rsid w:val="008F0B5E"/>
    <w:rsid w:val="009035BA"/>
    <w:rsid w:val="00903F6B"/>
    <w:rsid w:val="009123A8"/>
    <w:rsid w:val="009173F9"/>
    <w:rsid w:val="00926554"/>
    <w:rsid w:val="00937283"/>
    <w:rsid w:val="00941865"/>
    <w:rsid w:val="0095311C"/>
    <w:rsid w:val="0096422D"/>
    <w:rsid w:val="00975A04"/>
    <w:rsid w:val="00982963"/>
    <w:rsid w:val="00985378"/>
    <w:rsid w:val="00985C7C"/>
    <w:rsid w:val="00992C58"/>
    <w:rsid w:val="00994D0D"/>
    <w:rsid w:val="009B131D"/>
    <w:rsid w:val="009B799D"/>
    <w:rsid w:val="009C0D59"/>
    <w:rsid w:val="009C2818"/>
    <w:rsid w:val="009D524F"/>
    <w:rsid w:val="009E15F2"/>
    <w:rsid w:val="009E6FB0"/>
    <w:rsid w:val="009F0F39"/>
    <w:rsid w:val="009F1690"/>
    <w:rsid w:val="009F2F34"/>
    <w:rsid w:val="009F53F2"/>
    <w:rsid w:val="009F546E"/>
    <w:rsid w:val="009F55BD"/>
    <w:rsid w:val="009F5B4C"/>
    <w:rsid w:val="00A05260"/>
    <w:rsid w:val="00A079F0"/>
    <w:rsid w:val="00A1102F"/>
    <w:rsid w:val="00A13D55"/>
    <w:rsid w:val="00A20565"/>
    <w:rsid w:val="00A3393F"/>
    <w:rsid w:val="00A357B8"/>
    <w:rsid w:val="00A563C7"/>
    <w:rsid w:val="00A571BF"/>
    <w:rsid w:val="00A57BF7"/>
    <w:rsid w:val="00A63715"/>
    <w:rsid w:val="00A673C4"/>
    <w:rsid w:val="00A67CC2"/>
    <w:rsid w:val="00A83D8A"/>
    <w:rsid w:val="00A84094"/>
    <w:rsid w:val="00A93E7D"/>
    <w:rsid w:val="00AA260E"/>
    <w:rsid w:val="00AA44CB"/>
    <w:rsid w:val="00AA5A0F"/>
    <w:rsid w:val="00AA67CD"/>
    <w:rsid w:val="00AB781B"/>
    <w:rsid w:val="00AC0A1D"/>
    <w:rsid w:val="00AC256A"/>
    <w:rsid w:val="00AD6761"/>
    <w:rsid w:val="00AD6A8F"/>
    <w:rsid w:val="00AE1ACD"/>
    <w:rsid w:val="00AE600E"/>
    <w:rsid w:val="00AE6E78"/>
    <w:rsid w:val="00B0083B"/>
    <w:rsid w:val="00B11A6A"/>
    <w:rsid w:val="00B209B8"/>
    <w:rsid w:val="00B21F4E"/>
    <w:rsid w:val="00B22ACC"/>
    <w:rsid w:val="00B247C2"/>
    <w:rsid w:val="00B249F3"/>
    <w:rsid w:val="00B3228F"/>
    <w:rsid w:val="00B32970"/>
    <w:rsid w:val="00B33E00"/>
    <w:rsid w:val="00B41DE6"/>
    <w:rsid w:val="00B52446"/>
    <w:rsid w:val="00B573B0"/>
    <w:rsid w:val="00B6483E"/>
    <w:rsid w:val="00B66143"/>
    <w:rsid w:val="00B710DD"/>
    <w:rsid w:val="00B72C01"/>
    <w:rsid w:val="00B76FCD"/>
    <w:rsid w:val="00B82552"/>
    <w:rsid w:val="00B83E48"/>
    <w:rsid w:val="00B91B51"/>
    <w:rsid w:val="00B926E9"/>
    <w:rsid w:val="00BA236A"/>
    <w:rsid w:val="00BA2838"/>
    <w:rsid w:val="00BB0882"/>
    <w:rsid w:val="00BB400C"/>
    <w:rsid w:val="00BB4170"/>
    <w:rsid w:val="00BC3F0B"/>
    <w:rsid w:val="00BC5956"/>
    <w:rsid w:val="00BC5C50"/>
    <w:rsid w:val="00BD0C0E"/>
    <w:rsid w:val="00BD5439"/>
    <w:rsid w:val="00BD5883"/>
    <w:rsid w:val="00BE3C15"/>
    <w:rsid w:val="00BE5A85"/>
    <w:rsid w:val="00BE6A87"/>
    <w:rsid w:val="00BE7F9E"/>
    <w:rsid w:val="00BF26C9"/>
    <w:rsid w:val="00BF5718"/>
    <w:rsid w:val="00BF757B"/>
    <w:rsid w:val="00C16D71"/>
    <w:rsid w:val="00C21D68"/>
    <w:rsid w:val="00C229BC"/>
    <w:rsid w:val="00C23172"/>
    <w:rsid w:val="00C240ED"/>
    <w:rsid w:val="00C3106E"/>
    <w:rsid w:val="00C4482B"/>
    <w:rsid w:val="00C5167F"/>
    <w:rsid w:val="00C60609"/>
    <w:rsid w:val="00C6594E"/>
    <w:rsid w:val="00C66DC9"/>
    <w:rsid w:val="00C83A54"/>
    <w:rsid w:val="00C84850"/>
    <w:rsid w:val="00C87F9C"/>
    <w:rsid w:val="00C912B9"/>
    <w:rsid w:val="00C95CC1"/>
    <w:rsid w:val="00CA3F44"/>
    <w:rsid w:val="00CB012F"/>
    <w:rsid w:val="00CC3C69"/>
    <w:rsid w:val="00CC5513"/>
    <w:rsid w:val="00CD00FD"/>
    <w:rsid w:val="00CD508A"/>
    <w:rsid w:val="00CD55A4"/>
    <w:rsid w:val="00CD5C5D"/>
    <w:rsid w:val="00CE212D"/>
    <w:rsid w:val="00CE3568"/>
    <w:rsid w:val="00CE3F01"/>
    <w:rsid w:val="00CE4B38"/>
    <w:rsid w:val="00CE7203"/>
    <w:rsid w:val="00CF5262"/>
    <w:rsid w:val="00D075D1"/>
    <w:rsid w:val="00D1321A"/>
    <w:rsid w:val="00D16C1F"/>
    <w:rsid w:val="00D20482"/>
    <w:rsid w:val="00D24DFB"/>
    <w:rsid w:val="00D25542"/>
    <w:rsid w:val="00D30ADF"/>
    <w:rsid w:val="00D3186A"/>
    <w:rsid w:val="00D41A74"/>
    <w:rsid w:val="00D536A8"/>
    <w:rsid w:val="00D55D2B"/>
    <w:rsid w:val="00D56C01"/>
    <w:rsid w:val="00D607F6"/>
    <w:rsid w:val="00D617C9"/>
    <w:rsid w:val="00D6315E"/>
    <w:rsid w:val="00D652C2"/>
    <w:rsid w:val="00D71000"/>
    <w:rsid w:val="00D72ADA"/>
    <w:rsid w:val="00D72FDD"/>
    <w:rsid w:val="00D74EE2"/>
    <w:rsid w:val="00D83E19"/>
    <w:rsid w:val="00D925EA"/>
    <w:rsid w:val="00DA00C9"/>
    <w:rsid w:val="00DA4794"/>
    <w:rsid w:val="00DB200E"/>
    <w:rsid w:val="00DB3EDD"/>
    <w:rsid w:val="00DB65F5"/>
    <w:rsid w:val="00DC42E1"/>
    <w:rsid w:val="00DD381D"/>
    <w:rsid w:val="00DD4B67"/>
    <w:rsid w:val="00DD5FEB"/>
    <w:rsid w:val="00DE169B"/>
    <w:rsid w:val="00DE27BB"/>
    <w:rsid w:val="00DE5AAF"/>
    <w:rsid w:val="00E01592"/>
    <w:rsid w:val="00E01C3E"/>
    <w:rsid w:val="00E050D9"/>
    <w:rsid w:val="00E13099"/>
    <w:rsid w:val="00E225C3"/>
    <w:rsid w:val="00E26828"/>
    <w:rsid w:val="00E2786C"/>
    <w:rsid w:val="00E27A77"/>
    <w:rsid w:val="00E314B3"/>
    <w:rsid w:val="00E33E88"/>
    <w:rsid w:val="00E40A28"/>
    <w:rsid w:val="00E41EF9"/>
    <w:rsid w:val="00E4339F"/>
    <w:rsid w:val="00E52E57"/>
    <w:rsid w:val="00E55F39"/>
    <w:rsid w:val="00E629EA"/>
    <w:rsid w:val="00E6777C"/>
    <w:rsid w:val="00E74D73"/>
    <w:rsid w:val="00E84507"/>
    <w:rsid w:val="00E86096"/>
    <w:rsid w:val="00E93F86"/>
    <w:rsid w:val="00E95F20"/>
    <w:rsid w:val="00E970CF"/>
    <w:rsid w:val="00EA1F2E"/>
    <w:rsid w:val="00EA2C95"/>
    <w:rsid w:val="00EB05A3"/>
    <w:rsid w:val="00EB09A9"/>
    <w:rsid w:val="00EB1669"/>
    <w:rsid w:val="00EC228D"/>
    <w:rsid w:val="00ED38B7"/>
    <w:rsid w:val="00ED447F"/>
    <w:rsid w:val="00EE051D"/>
    <w:rsid w:val="00EF03F4"/>
    <w:rsid w:val="00F0131A"/>
    <w:rsid w:val="00F01AF6"/>
    <w:rsid w:val="00F01FDC"/>
    <w:rsid w:val="00F02C30"/>
    <w:rsid w:val="00F0663B"/>
    <w:rsid w:val="00F13469"/>
    <w:rsid w:val="00F14C17"/>
    <w:rsid w:val="00F169E3"/>
    <w:rsid w:val="00F17041"/>
    <w:rsid w:val="00F3137C"/>
    <w:rsid w:val="00F3246D"/>
    <w:rsid w:val="00F435EA"/>
    <w:rsid w:val="00F44937"/>
    <w:rsid w:val="00F50C0D"/>
    <w:rsid w:val="00F535A8"/>
    <w:rsid w:val="00F54F73"/>
    <w:rsid w:val="00F61A47"/>
    <w:rsid w:val="00F631AD"/>
    <w:rsid w:val="00F72068"/>
    <w:rsid w:val="00F73ED4"/>
    <w:rsid w:val="00F75199"/>
    <w:rsid w:val="00F84422"/>
    <w:rsid w:val="00F91F37"/>
    <w:rsid w:val="00F95455"/>
    <w:rsid w:val="00FA574D"/>
    <w:rsid w:val="00FA5C78"/>
    <w:rsid w:val="00FB0035"/>
    <w:rsid w:val="00FC09FA"/>
    <w:rsid w:val="00FC0D18"/>
    <w:rsid w:val="00FC0D23"/>
    <w:rsid w:val="00FD2188"/>
    <w:rsid w:val="00FD5FBA"/>
    <w:rsid w:val="00FE7676"/>
    <w:rsid w:val="00FE7AAE"/>
    <w:rsid w:val="00FE7AD9"/>
    <w:rsid w:val="00FF25C1"/>
    <w:rsid w:val="01322275"/>
    <w:rsid w:val="01DC6F05"/>
    <w:rsid w:val="02A3489A"/>
    <w:rsid w:val="02CA138D"/>
    <w:rsid w:val="033646FC"/>
    <w:rsid w:val="03C75F80"/>
    <w:rsid w:val="0478364D"/>
    <w:rsid w:val="053D4C0D"/>
    <w:rsid w:val="0557532E"/>
    <w:rsid w:val="0799329C"/>
    <w:rsid w:val="0A1B39CA"/>
    <w:rsid w:val="0A2B7D82"/>
    <w:rsid w:val="0ADC40E9"/>
    <w:rsid w:val="0B451598"/>
    <w:rsid w:val="0BEC73F4"/>
    <w:rsid w:val="0C392698"/>
    <w:rsid w:val="10631288"/>
    <w:rsid w:val="10BD36F6"/>
    <w:rsid w:val="11BF0649"/>
    <w:rsid w:val="123A3F47"/>
    <w:rsid w:val="123E3E08"/>
    <w:rsid w:val="161C2DFF"/>
    <w:rsid w:val="16373578"/>
    <w:rsid w:val="17806C36"/>
    <w:rsid w:val="17A74F62"/>
    <w:rsid w:val="18A47774"/>
    <w:rsid w:val="19890DE5"/>
    <w:rsid w:val="1B2E6FD8"/>
    <w:rsid w:val="1B4B24DF"/>
    <w:rsid w:val="1B877D21"/>
    <w:rsid w:val="1C4319A9"/>
    <w:rsid w:val="1E994F4A"/>
    <w:rsid w:val="1EAF0224"/>
    <w:rsid w:val="20210932"/>
    <w:rsid w:val="202448E0"/>
    <w:rsid w:val="20F34C03"/>
    <w:rsid w:val="21302EEA"/>
    <w:rsid w:val="23E152D7"/>
    <w:rsid w:val="248930B9"/>
    <w:rsid w:val="255D43C8"/>
    <w:rsid w:val="26876BDD"/>
    <w:rsid w:val="2714632A"/>
    <w:rsid w:val="27AB3773"/>
    <w:rsid w:val="27B0539E"/>
    <w:rsid w:val="29365CF8"/>
    <w:rsid w:val="2A805789"/>
    <w:rsid w:val="2B4A0E52"/>
    <w:rsid w:val="2C975890"/>
    <w:rsid w:val="2DEF21BB"/>
    <w:rsid w:val="2E4A2F05"/>
    <w:rsid w:val="2ECC1061"/>
    <w:rsid w:val="2FA476AD"/>
    <w:rsid w:val="2FDF2952"/>
    <w:rsid w:val="303F7540"/>
    <w:rsid w:val="31DD00BF"/>
    <w:rsid w:val="3293174C"/>
    <w:rsid w:val="32BB38D4"/>
    <w:rsid w:val="32C9376D"/>
    <w:rsid w:val="33780472"/>
    <w:rsid w:val="33AF0905"/>
    <w:rsid w:val="355932F4"/>
    <w:rsid w:val="35611882"/>
    <w:rsid w:val="36746FC3"/>
    <w:rsid w:val="368763AE"/>
    <w:rsid w:val="38020526"/>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5C52E6"/>
    <w:rsid w:val="4BF67CDD"/>
    <w:rsid w:val="4C115A87"/>
    <w:rsid w:val="4D603DD6"/>
    <w:rsid w:val="4EBF010F"/>
    <w:rsid w:val="4F471EB0"/>
    <w:rsid w:val="51331326"/>
    <w:rsid w:val="51740A7F"/>
    <w:rsid w:val="51C96242"/>
    <w:rsid w:val="54F46F60"/>
    <w:rsid w:val="55A37BEA"/>
    <w:rsid w:val="56FB65C1"/>
    <w:rsid w:val="57846959"/>
    <w:rsid w:val="578E6A87"/>
    <w:rsid w:val="5AC2203A"/>
    <w:rsid w:val="5C633287"/>
    <w:rsid w:val="5CBB3334"/>
    <w:rsid w:val="5D115FAF"/>
    <w:rsid w:val="62E75A72"/>
    <w:rsid w:val="64571880"/>
    <w:rsid w:val="649125B6"/>
    <w:rsid w:val="652F4C1A"/>
    <w:rsid w:val="666D37F1"/>
    <w:rsid w:val="671B45A7"/>
    <w:rsid w:val="671F687E"/>
    <w:rsid w:val="6858769B"/>
    <w:rsid w:val="6A047A2A"/>
    <w:rsid w:val="6EB77D38"/>
    <w:rsid w:val="6EBE369C"/>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2F"/>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117C2F"/>
    <w:pPr>
      <w:jc w:val="left"/>
    </w:pPr>
    <w:rPr>
      <w:rFonts w:ascii="Calibri" w:hAnsi="Calibri"/>
    </w:rPr>
  </w:style>
  <w:style w:type="paragraph" w:styleId="a4">
    <w:name w:val="Balloon Text"/>
    <w:basedOn w:val="a"/>
    <w:link w:val="Char0"/>
    <w:uiPriority w:val="99"/>
    <w:unhideWhenUsed/>
    <w:qFormat/>
    <w:rsid w:val="00117C2F"/>
    <w:rPr>
      <w:sz w:val="18"/>
      <w:szCs w:val="18"/>
    </w:rPr>
  </w:style>
  <w:style w:type="paragraph" w:styleId="a5">
    <w:name w:val="footer"/>
    <w:basedOn w:val="a"/>
    <w:link w:val="Char1"/>
    <w:uiPriority w:val="99"/>
    <w:unhideWhenUsed/>
    <w:qFormat/>
    <w:rsid w:val="00117C2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7C2F"/>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117C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unhideWhenUsed/>
    <w:qFormat/>
    <w:rsid w:val="00117C2F"/>
    <w:rPr>
      <w:color w:val="800080"/>
      <w:u w:val="single"/>
    </w:rPr>
  </w:style>
  <w:style w:type="character" w:styleId="a9">
    <w:name w:val="Hyperlink"/>
    <w:uiPriority w:val="99"/>
    <w:unhideWhenUsed/>
    <w:qFormat/>
    <w:rsid w:val="00117C2F"/>
    <w:rPr>
      <w:color w:val="0000FF"/>
      <w:u w:val="single"/>
    </w:rPr>
  </w:style>
  <w:style w:type="character" w:customStyle="1" w:styleId="Char2">
    <w:name w:val="页眉 Char"/>
    <w:link w:val="a6"/>
    <w:uiPriority w:val="99"/>
    <w:qFormat/>
    <w:rsid w:val="00117C2F"/>
    <w:rPr>
      <w:kern w:val="2"/>
      <w:sz w:val="18"/>
      <w:szCs w:val="18"/>
    </w:rPr>
  </w:style>
  <w:style w:type="character" w:customStyle="1" w:styleId="font21">
    <w:name w:val="font21"/>
    <w:basedOn w:val="a0"/>
    <w:qFormat/>
    <w:rsid w:val="00117C2F"/>
    <w:rPr>
      <w:rFonts w:ascii="宋体" w:eastAsia="宋体" w:hAnsi="宋体" w:cs="宋体" w:hint="eastAsia"/>
      <w:color w:val="000000"/>
      <w:sz w:val="22"/>
      <w:szCs w:val="22"/>
      <w:u w:val="none"/>
    </w:rPr>
  </w:style>
  <w:style w:type="character" w:customStyle="1" w:styleId="Char0">
    <w:name w:val="批注框文本 Char"/>
    <w:basedOn w:val="a0"/>
    <w:link w:val="a4"/>
    <w:uiPriority w:val="99"/>
    <w:semiHidden/>
    <w:qFormat/>
    <w:rsid w:val="00117C2F"/>
    <w:rPr>
      <w:kern w:val="2"/>
      <w:sz w:val="18"/>
      <w:szCs w:val="18"/>
    </w:rPr>
  </w:style>
  <w:style w:type="character" w:customStyle="1" w:styleId="Char1">
    <w:name w:val="页脚 Char"/>
    <w:link w:val="a5"/>
    <w:uiPriority w:val="99"/>
    <w:qFormat/>
    <w:rsid w:val="00117C2F"/>
    <w:rPr>
      <w:kern w:val="2"/>
      <w:sz w:val="18"/>
      <w:szCs w:val="18"/>
    </w:rPr>
  </w:style>
  <w:style w:type="paragraph" w:styleId="aa">
    <w:name w:val="List Paragraph"/>
    <w:basedOn w:val="a"/>
    <w:uiPriority w:val="34"/>
    <w:qFormat/>
    <w:rsid w:val="00117C2F"/>
    <w:pPr>
      <w:ind w:firstLineChars="200" w:firstLine="420"/>
    </w:pPr>
  </w:style>
  <w:style w:type="character" w:customStyle="1" w:styleId="Char">
    <w:name w:val="批注文字 Char"/>
    <w:basedOn w:val="a0"/>
    <w:link w:val="a3"/>
    <w:uiPriority w:val="99"/>
    <w:rsid w:val="00117C2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5AB53DD1-CC18-4D06-AE58-96A7EC37A6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2336</Words>
  <Characters>13317</Characters>
  <Application>Microsoft Office Word</Application>
  <DocSecurity>0</DocSecurity>
  <Lines>110</Lines>
  <Paragraphs>31</Paragraphs>
  <ScaleCrop>false</ScaleCrop>
  <Company>MS User</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39</cp:revision>
  <cp:lastPrinted>2020-09-18T09:49:00Z</cp:lastPrinted>
  <dcterms:created xsi:type="dcterms:W3CDTF">2020-09-25T07:22:00Z</dcterms:created>
  <dcterms:modified xsi:type="dcterms:W3CDTF">2020-12-15T09:44:00Z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