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ascii="方正小标宋简体" w:hAnsi="Times New Roman" w:eastAsia="方正小标宋简体"/>
          <w:sz w:val="84"/>
          <w:szCs w:val="84"/>
        </w:rPr>
      </w:pPr>
    </w:p>
    <w:p>
      <w:pPr>
        <w:adjustRightInd w:val="0"/>
        <w:snapToGrid w:val="0"/>
        <w:spacing w:line="360" w:lineRule="auto"/>
        <w:jc w:val="center"/>
        <w:rPr>
          <w:rFonts w:ascii="方正小标宋简体" w:hAnsi="Times New Roman" w:eastAsia="方正小标宋简体"/>
          <w:sz w:val="84"/>
          <w:szCs w:val="84"/>
        </w:rPr>
      </w:pPr>
      <w:r>
        <w:rPr>
          <w:rFonts w:hint="eastAsia" w:ascii="方正小标宋简体" w:hAnsi="Times New Roman" w:eastAsia="方正小标宋简体"/>
          <w:sz w:val="84"/>
          <w:szCs w:val="84"/>
        </w:rPr>
        <w:t>新乡学院</w:t>
      </w:r>
    </w:p>
    <w:p>
      <w:pPr>
        <w:adjustRightInd w:val="0"/>
        <w:snapToGrid w:val="0"/>
        <w:spacing w:line="360" w:lineRule="auto"/>
        <w:jc w:val="center"/>
        <w:rPr>
          <w:rFonts w:ascii="方正小标宋简体" w:hAnsi="Times New Roman" w:eastAsia="方正小标宋简体"/>
          <w:sz w:val="84"/>
          <w:szCs w:val="84"/>
        </w:rPr>
      </w:pPr>
      <w:r>
        <w:rPr>
          <w:rFonts w:hint="eastAsia" w:ascii="方正小标宋简体" w:hAnsi="Times New Roman" w:eastAsia="方正小标宋简体"/>
          <w:sz w:val="84"/>
          <w:szCs w:val="84"/>
        </w:rPr>
        <w:t>2018年度部门预算</w:t>
      </w:r>
    </w:p>
    <w:p>
      <w:pPr>
        <w:adjustRightInd w:val="0"/>
        <w:snapToGrid w:val="0"/>
        <w:spacing w:line="360" w:lineRule="auto"/>
        <w:jc w:val="center"/>
        <w:rPr>
          <w:rFonts w:ascii="方正小标宋简体" w:hAnsi="Times New Roman" w:eastAsia="方正小标宋简体"/>
          <w:sz w:val="84"/>
          <w:szCs w:val="84"/>
        </w:rPr>
      </w:pPr>
      <w:r>
        <w:rPr>
          <w:rFonts w:hint="eastAsia" w:ascii="方正小标宋简体" w:hAnsi="Times New Roman" w:eastAsia="方正小标宋简体"/>
          <w:sz w:val="84"/>
          <w:szCs w:val="84"/>
        </w:rPr>
        <w:t>基本情况说明</w:t>
      </w:r>
    </w:p>
    <w:p>
      <w:pPr>
        <w:adjustRightInd w:val="0"/>
        <w:snapToGrid w:val="0"/>
        <w:spacing w:line="360" w:lineRule="auto"/>
        <w:jc w:val="center"/>
        <w:rPr>
          <w:rFonts w:ascii="方正小标宋简体" w:hAnsi="Times New Roman" w:eastAsia="方正小标宋简体"/>
          <w:sz w:val="44"/>
          <w:szCs w:val="44"/>
        </w:rPr>
      </w:pPr>
    </w:p>
    <w:p>
      <w:pPr>
        <w:adjustRightInd w:val="0"/>
        <w:snapToGrid w:val="0"/>
        <w:spacing w:line="360" w:lineRule="auto"/>
        <w:rPr>
          <w:rFonts w:hint="eastAsia" w:ascii="方正小标宋简体" w:hAnsi="Times New Roman" w:eastAsia="方正小标宋简体"/>
          <w:sz w:val="44"/>
          <w:szCs w:val="44"/>
        </w:rPr>
      </w:pPr>
    </w:p>
    <w:p>
      <w:pPr>
        <w:adjustRightInd w:val="0"/>
        <w:snapToGrid w:val="0"/>
        <w:spacing w:line="360" w:lineRule="auto"/>
        <w:rPr>
          <w:rFonts w:hint="eastAsia" w:ascii="方正小标宋简体" w:hAnsi="Times New Roman" w:eastAsia="方正小标宋简体"/>
          <w:sz w:val="44"/>
          <w:szCs w:val="44"/>
        </w:rPr>
      </w:pPr>
    </w:p>
    <w:p>
      <w:pPr>
        <w:adjustRightInd w:val="0"/>
        <w:snapToGrid w:val="0"/>
        <w:spacing w:line="360" w:lineRule="auto"/>
        <w:rPr>
          <w:rFonts w:ascii="方正小标宋简体" w:hAnsi="Times New Roman" w:eastAsia="方正小标宋简体"/>
          <w:sz w:val="44"/>
          <w:szCs w:val="44"/>
        </w:rPr>
      </w:pPr>
    </w:p>
    <w:p>
      <w:pPr>
        <w:widowControl/>
        <w:spacing w:before="100" w:beforeAutospacing="1" w:after="100" w:afterAutospacing="1"/>
        <w:jc w:val="center"/>
        <w:rPr>
          <w:rFonts w:ascii="仿宋_GB2312" w:hAnsi="宋体" w:cs="宋体"/>
          <w:b/>
          <w:bCs/>
          <w:kern w:val="0"/>
          <w:sz w:val="24"/>
        </w:rPr>
      </w:pPr>
      <w:r>
        <w:rPr>
          <w:rFonts w:hint="eastAsia" w:ascii="仿宋_GB2312" w:hAnsi="宋体" w:cs="宋体"/>
          <w:b/>
          <w:bCs/>
          <w:kern w:val="0"/>
          <w:sz w:val="44"/>
          <w:szCs w:val="44"/>
        </w:rPr>
        <w:t>二</w:t>
      </w:r>
      <w:r>
        <w:rPr>
          <w:rFonts w:hint="eastAsia" w:ascii="仿宋_GB2312" w:hAnsi="宋体" w:eastAsia="黑体" w:cs="宋体"/>
          <w:b/>
          <w:bCs/>
          <w:kern w:val="0"/>
          <w:sz w:val="44"/>
          <w:szCs w:val="44"/>
        </w:rPr>
        <w:t>〇</w:t>
      </w:r>
      <w:r>
        <w:rPr>
          <w:rFonts w:hint="eastAsia" w:ascii="仿宋_GB2312" w:hAnsi="宋体" w:cs="宋体"/>
          <w:b/>
          <w:bCs/>
          <w:kern w:val="0"/>
          <w:sz w:val="44"/>
          <w:szCs w:val="44"/>
        </w:rPr>
        <w:t>一八年十月二十三日</w:t>
      </w:r>
    </w:p>
    <w:p>
      <w:pPr>
        <w:spacing w:line="600" w:lineRule="exact"/>
        <w:jc w:val="center"/>
        <w:rPr>
          <w:b/>
          <w:sz w:val="44"/>
          <w:szCs w:val="44"/>
        </w:rPr>
      </w:pPr>
    </w:p>
    <w:p>
      <w:pPr>
        <w:kinsoku w:val="0"/>
        <w:overflowPunct w:val="0"/>
        <w:adjustRightInd w:val="0"/>
        <w:snapToGrid w:val="0"/>
        <w:spacing w:line="360" w:lineRule="auto"/>
        <w:ind w:left="-142" w:right="51" w:firstLine="39" w:firstLineChars="7"/>
        <w:jc w:val="center"/>
        <w:rPr>
          <w:rFonts w:ascii="仿宋_GB2312" w:hAnsi="Times New Roman" w:eastAsia="仿宋_GB2312" w:cs="黑体"/>
          <w:b/>
          <w:sz w:val="56"/>
          <w:szCs w:val="56"/>
        </w:rPr>
      </w:pPr>
      <w:r>
        <w:rPr>
          <w:rFonts w:hint="eastAsia" w:ascii="仿宋_GB2312" w:hAnsi="Times New Roman" w:eastAsia="仿宋_GB2312" w:cs="黑体"/>
          <w:b/>
          <w:sz w:val="56"/>
          <w:szCs w:val="56"/>
        </w:rPr>
        <w:t>目</w:t>
      </w:r>
      <w:r>
        <w:rPr>
          <w:rFonts w:hint="eastAsia" w:ascii="仿宋_GB2312" w:hAnsi="Times New Roman" w:eastAsia="仿宋_GB2312" w:cs="黑体"/>
          <w:b/>
          <w:spacing w:val="2"/>
          <w:sz w:val="56"/>
          <w:szCs w:val="56"/>
        </w:rPr>
        <w:t xml:space="preserve"> </w:t>
      </w:r>
      <w:r>
        <w:rPr>
          <w:rFonts w:hint="eastAsia" w:ascii="仿宋_GB2312" w:hAnsi="Times New Roman" w:eastAsia="仿宋_GB2312" w:cs="黑体"/>
          <w:b/>
          <w:sz w:val="56"/>
          <w:szCs w:val="56"/>
        </w:rPr>
        <w:t>录</w:t>
      </w:r>
    </w:p>
    <w:p>
      <w:pPr>
        <w:kinsoku w:val="0"/>
        <w:overflowPunct w:val="0"/>
        <w:adjustRightInd w:val="0"/>
        <w:snapToGrid w:val="0"/>
        <w:spacing w:line="360" w:lineRule="auto"/>
        <w:ind w:right="3569" w:firstLine="640" w:firstLineChars="200"/>
        <w:rPr>
          <w:rFonts w:ascii="黑体" w:hAnsi="黑体" w:eastAsia="黑体" w:cs="黑体"/>
          <w:sz w:val="32"/>
          <w:szCs w:val="32"/>
        </w:rPr>
      </w:pPr>
    </w:p>
    <w:p>
      <w:pPr>
        <w:kinsoku w:val="0"/>
        <w:overflowPunct w:val="0"/>
        <w:adjustRightInd w:val="0"/>
        <w:snapToGrid w:val="0"/>
        <w:spacing w:line="360" w:lineRule="auto"/>
        <w:ind w:right="3569" w:firstLine="640" w:firstLineChars="200"/>
        <w:rPr>
          <w:rFonts w:ascii="黑体" w:hAnsi="黑体" w:eastAsia="黑体" w:cs="黑体"/>
          <w:w w:val="99"/>
          <w:sz w:val="32"/>
          <w:szCs w:val="32"/>
        </w:rPr>
      </w:pPr>
      <w:r>
        <w:rPr>
          <w:rFonts w:hint="eastAsia" w:ascii="黑体" w:hAnsi="黑体" w:eastAsia="黑体" w:cs="黑体"/>
          <w:sz w:val="32"/>
          <w:szCs w:val="32"/>
        </w:rPr>
        <w:t>第一部分 新乡学院概况</w:t>
      </w:r>
      <w:r>
        <w:rPr>
          <w:rFonts w:hint="eastAsia" w:ascii="黑体" w:hAnsi="黑体" w:eastAsia="黑体" w:cs="黑体"/>
          <w:w w:val="99"/>
          <w:sz w:val="32"/>
          <w:szCs w:val="32"/>
        </w:rPr>
        <w:t xml:space="preserve"> </w:t>
      </w:r>
    </w:p>
    <w:p>
      <w:pPr>
        <w:kinsoku w:val="0"/>
        <w:overflowPunct w:val="0"/>
        <w:adjustRightInd w:val="0"/>
        <w:snapToGrid w:val="0"/>
        <w:spacing w:line="360" w:lineRule="auto"/>
        <w:ind w:right="84" w:firstLine="960" w:firstLineChars="300"/>
        <w:jc w:val="left"/>
        <w:rPr>
          <w:rFonts w:ascii="仿宋_GB2312" w:hAnsi="华文楷体" w:eastAsia="仿宋_GB2312" w:cs="仿宋_GB2312"/>
          <w:sz w:val="32"/>
          <w:szCs w:val="32"/>
        </w:rPr>
      </w:pPr>
      <w:r>
        <w:rPr>
          <w:rFonts w:hint="eastAsia" w:ascii="仿宋_GB2312" w:hAnsi="Times New Roman" w:eastAsia="仿宋_GB2312" w:cs="仿宋_GB2312"/>
          <w:sz w:val="32"/>
          <w:szCs w:val="32"/>
        </w:rPr>
        <w:t>一、新乡学院主要职能</w:t>
      </w:r>
    </w:p>
    <w:p>
      <w:pPr>
        <w:kinsoku w:val="0"/>
        <w:overflowPunct w:val="0"/>
        <w:adjustRightInd w:val="0"/>
        <w:snapToGrid w:val="0"/>
        <w:spacing w:line="360" w:lineRule="auto"/>
        <w:ind w:right="84" w:firstLine="960" w:firstLineChars="300"/>
        <w:jc w:val="left"/>
        <w:rPr>
          <w:rFonts w:ascii="仿宋_GB2312" w:hAnsi="华文楷体" w:eastAsia="仿宋_GB2312" w:cs="仿宋_GB2312"/>
          <w:sz w:val="32"/>
          <w:szCs w:val="32"/>
        </w:rPr>
      </w:pPr>
      <w:r>
        <w:rPr>
          <w:rFonts w:hint="eastAsia" w:ascii="仿宋_GB2312" w:hAnsi="Times New Roman" w:eastAsia="仿宋_GB2312" w:cs="仿宋_GB2312"/>
          <w:sz w:val="32"/>
          <w:szCs w:val="32"/>
        </w:rPr>
        <w:t>二、新乡学院预算单位构成</w:t>
      </w:r>
    </w:p>
    <w:p>
      <w:pPr>
        <w:kinsoku w:val="0"/>
        <w:overflowPunct w:val="0"/>
        <w:adjustRightInd w:val="0"/>
        <w:snapToGrid w:val="0"/>
        <w:spacing w:line="360" w:lineRule="auto"/>
        <w:ind w:right="84" w:firstLine="960" w:firstLineChars="300"/>
        <w:jc w:val="left"/>
        <w:rPr>
          <w:rFonts w:ascii="仿宋_GB2312" w:hAnsi="仿宋" w:eastAsia="仿宋_GB2312" w:cs="仿宋_GB2312"/>
          <w:sz w:val="32"/>
          <w:szCs w:val="32"/>
        </w:rPr>
      </w:pPr>
      <w:r>
        <w:rPr>
          <w:rFonts w:hint="eastAsia" w:ascii="仿宋_GB2312" w:hAnsi="仿宋" w:eastAsia="仿宋_GB2312" w:cs="仿宋_GB2312"/>
          <w:sz w:val="32"/>
          <w:szCs w:val="32"/>
        </w:rPr>
        <w:t>三、部门人员编制总体情况。</w:t>
      </w:r>
    </w:p>
    <w:p>
      <w:pPr>
        <w:kinsoku w:val="0"/>
        <w:overflowPunct w:val="0"/>
        <w:adjustRightInd w:val="0"/>
        <w:snapToGrid w:val="0"/>
        <w:spacing w:line="360" w:lineRule="auto"/>
        <w:ind w:right="26" w:firstLine="640" w:firstLineChars="200"/>
        <w:rPr>
          <w:rFonts w:ascii="黑体" w:hAnsi="黑体" w:eastAsia="黑体" w:cs="黑体"/>
          <w:w w:val="99"/>
          <w:sz w:val="32"/>
          <w:szCs w:val="32"/>
        </w:rPr>
      </w:pPr>
      <w:r>
        <w:rPr>
          <w:rFonts w:hint="eastAsia" w:ascii="黑体" w:hAnsi="黑体" w:eastAsia="黑体" w:cs="黑体"/>
          <w:sz w:val="32"/>
          <w:szCs w:val="32"/>
        </w:rPr>
        <w:t xml:space="preserve">第二部分 </w:t>
      </w:r>
      <w:r>
        <w:rPr>
          <w:rFonts w:hint="eastAsia" w:ascii="黑体" w:hAnsi="黑体" w:eastAsia="黑体" w:cs="Times New Roman"/>
          <w:sz w:val="32"/>
          <w:szCs w:val="32"/>
        </w:rPr>
        <w:t>新乡学院2018 年度部门预算情况说明</w:t>
      </w:r>
      <w:r>
        <w:rPr>
          <w:rFonts w:hint="eastAsia" w:ascii="黑体" w:hAnsi="黑体" w:eastAsia="黑体" w:cs="黑体"/>
          <w:w w:val="99"/>
          <w:sz w:val="32"/>
          <w:szCs w:val="32"/>
        </w:rPr>
        <w:t xml:space="preserve"> </w:t>
      </w:r>
    </w:p>
    <w:p>
      <w:pPr>
        <w:kinsoku w:val="0"/>
        <w:overflowPunct w:val="0"/>
        <w:adjustRightInd w:val="0"/>
        <w:snapToGrid w:val="0"/>
        <w:spacing w:line="360" w:lineRule="auto"/>
        <w:ind w:right="26" w:firstLine="630"/>
        <w:rPr>
          <w:rFonts w:ascii="仿宋_GB2312" w:hAnsi="Times New Roman" w:eastAsia="仿宋_GB2312" w:cs="黑体"/>
          <w:w w:val="99"/>
          <w:sz w:val="32"/>
          <w:szCs w:val="32"/>
        </w:rPr>
      </w:pPr>
      <w:r>
        <w:rPr>
          <w:rFonts w:hint="eastAsia" w:ascii="仿宋_GB2312" w:hAnsi="Times New Roman" w:eastAsia="仿宋_GB2312" w:cs="黑体"/>
          <w:w w:val="99"/>
          <w:sz w:val="32"/>
          <w:szCs w:val="32"/>
        </w:rPr>
        <w:t xml:space="preserve">  一、收入支出预算总体情况说明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二、收入预算总体情况说明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三、支出预算总体情况说明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四、财政拨款收入支出预算总体情况说明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五、一般公共预算支出预算情况说明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六、一般公共预算基本支出预算情况说明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七、一般公共预算项目支出情况说明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八、“三公”经费支出预算情况说明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九、政府性基金预算支出情况说明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十、机关运行经费支出情况</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十一、政府采购支出情况</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十二、预算绩效管理工作开展情况说明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十三、国有资产占用情况说明</w:t>
      </w:r>
    </w:p>
    <w:p>
      <w:pPr>
        <w:kinsoku w:val="0"/>
        <w:overflowPunct w:val="0"/>
        <w:adjustRightInd w:val="0"/>
        <w:snapToGrid w:val="0"/>
        <w:spacing w:line="360" w:lineRule="auto"/>
        <w:ind w:right="521" w:firstLine="640" w:firstLineChars="200"/>
        <w:rPr>
          <w:rFonts w:ascii="黑体" w:hAnsi="黑体" w:eastAsia="黑体" w:cs="黑体"/>
          <w:sz w:val="32"/>
          <w:szCs w:val="32"/>
        </w:rPr>
      </w:pPr>
      <w:r>
        <w:rPr>
          <w:rFonts w:hint="eastAsia" w:ascii="黑体" w:hAnsi="黑体" w:eastAsia="黑体" w:cs="黑体"/>
          <w:sz w:val="32"/>
          <w:szCs w:val="32"/>
        </w:rPr>
        <w:t>第三部分</w:t>
      </w:r>
      <w:r>
        <w:rPr>
          <w:rFonts w:hint="eastAsia" w:ascii="黑体" w:hAnsi="黑体" w:eastAsia="黑体" w:cs="黑体"/>
          <w:spacing w:val="-32"/>
          <w:sz w:val="32"/>
          <w:szCs w:val="32"/>
        </w:rPr>
        <w:t xml:space="preserve"> </w:t>
      </w:r>
      <w:r>
        <w:rPr>
          <w:rFonts w:hint="eastAsia" w:ascii="黑体" w:hAnsi="黑体" w:eastAsia="黑体" w:cs="黑体"/>
          <w:sz w:val="32"/>
          <w:szCs w:val="32"/>
        </w:rPr>
        <w:t>名词解释</w:t>
      </w:r>
    </w:p>
    <w:p>
      <w:pPr>
        <w:kinsoku w:val="0"/>
        <w:overflowPunct w:val="0"/>
        <w:adjustRightInd w:val="0"/>
        <w:snapToGrid w:val="0"/>
        <w:spacing w:line="360" w:lineRule="auto"/>
        <w:ind w:right="521" w:firstLine="640" w:firstLineChars="200"/>
        <w:rPr>
          <w:rFonts w:ascii="黑体" w:hAnsi="黑体" w:eastAsia="黑体" w:cs="黑体"/>
          <w:sz w:val="32"/>
          <w:szCs w:val="32"/>
        </w:rPr>
      </w:pPr>
    </w:p>
    <w:p>
      <w:pPr>
        <w:kinsoku w:val="0"/>
        <w:overflowPunct w:val="0"/>
        <w:adjustRightInd w:val="0"/>
        <w:snapToGrid w:val="0"/>
        <w:spacing w:line="360" w:lineRule="auto"/>
        <w:ind w:firstLine="643" w:firstLineChars="200"/>
        <w:rPr>
          <w:rFonts w:ascii="仿宋_GB2312" w:hAnsi="Times New Roman" w:eastAsia="仿宋_GB2312" w:cs="黑体"/>
          <w:b/>
          <w:sz w:val="32"/>
          <w:szCs w:val="32"/>
        </w:rPr>
      </w:pPr>
      <w:r>
        <w:rPr>
          <w:rFonts w:hint="eastAsia" w:ascii="仿宋_GB2312" w:hAnsi="Times New Roman" w:eastAsia="仿宋_GB2312" w:cs="黑体"/>
          <w:b/>
          <w:sz w:val="32"/>
          <w:szCs w:val="32"/>
        </w:rPr>
        <w:t>附件：新乡学院2018</w:t>
      </w:r>
      <w:r>
        <w:rPr>
          <w:rFonts w:hint="eastAsia" w:ascii="仿宋_GB2312" w:hAnsi="Times New Roman" w:eastAsia="仿宋_GB2312" w:cs="黑体"/>
          <w:b/>
          <w:spacing w:val="-116"/>
          <w:sz w:val="32"/>
          <w:szCs w:val="32"/>
        </w:rPr>
        <w:t xml:space="preserve"> </w:t>
      </w:r>
      <w:r>
        <w:rPr>
          <w:rFonts w:hint="eastAsia" w:ascii="仿宋_GB2312" w:hAnsi="Times New Roman" w:eastAsia="仿宋_GB2312" w:cs="黑体"/>
          <w:b/>
          <w:sz w:val="32"/>
          <w:szCs w:val="32"/>
        </w:rPr>
        <w:t>年度部门预算表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hAnsi="Calibri" w:eastAsia="仿宋_GB2312" w:cs="Times New Roman"/>
          <w:sz w:val="32"/>
          <w:szCs w:val="32"/>
        </w:rPr>
        <w:t>部门收支总体情况表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hAnsi="Calibri" w:eastAsia="仿宋_GB2312" w:cs="Times New Roman"/>
          <w:sz w:val="32"/>
          <w:szCs w:val="32"/>
        </w:rPr>
        <w:t>部门收入总体情况表</w:t>
      </w:r>
    </w:p>
    <w:p>
      <w:pPr>
        <w:kinsoku w:val="0"/>
        <w:overflowPunct w:val="0"/>
        <w:adjustRightInd w:val="0"/>
        <w:snapToGrid w:val="0"/>
        <w:spacing w:line="360" w:lineRule="auto"/>
        <w:ind w:right="51" w:firstLine="960" w:firstLineChars="300"/>
        <w:jc w:val="left"/>
        <w:rPr>
          <w:rFonts w:ascii="仿宋_GB2312" w:hAnsi="Calibri" w:eastAsia="仿宋_GB2312" w:cs="Times New Roman"/>
          <w:sz w:val="32"/>
          <w:szCs w:val="32"/>
        </w:rPr>
      </w:pPr>
      <w:r>
        <w:rPr>
          <w:rFonts w:hint="eastAsia" w:ascii="仿宋_GB2312" w:hAnsi="Times New Roman" w:eastAsia="仿宋_GB2312" w:cs="仿宋_GB2312"/>
          <w:sz w:val="32"/>
          <w:szCs w:val="32"/>
        </w:rPr>
        <w:t>三、</w:t>
      </w:r>
      <w:r>
        <w:rPr>
          <w:rFonts w:hint="eastAsia" w:ascii="仿宋_GB2312" w:hAnsi="Calibri" w:eastAsia="仿宋_GB2312" w:cs="Times New Roman"/>
          <w:sz w:val="32"/>
          <w:szCs w:val="32"/>
        </w:rPr>
        <w:t>部门支出总体情况表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四、</w:t>
      </w:r>
      <w:r>
        <w:rPr>
          <w:rFonts w:hint="eastAsia" w:ascii="仿宋_GB2312" w:hAnsi="Calibri" w:eastAsia="仿宋_GB2312" w:cs="Times New Roman"/>
          <w:sz w:val="32"/>
          <w:szCs w:val="32"/>
        </w:rPr>
        <w:t>财政拨款收支总体情况表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五、</w:t>
      </w:r>
      <w:r>
        <w:rPr>
          <w:rFonts w:hint="eastAsia" w:ascii="仿宋_GB2312" w:hAnsi="Calibri" w:eastAsia="仿宋_GB2312" w:cs="Times New Roman"/>
          <w:sz w:val="32"/>
          <w:szCs w:val="32"/>
        </w:rPr>
        <w:t>一般公共预算支出情况表</w:t>
      </w:r>
    </w:p>
    <w:p>
      <w:pPr>
        <w:kinsoku w:val="0"/>
        <w:overflowPunct w:val="0"/>
        <w:adjustRightInd w:val="0"/>
        <w:snapToGrid w:val="0"/>
        <w:spacing w:line="360" w:lineRule="auto"/>
        <w:ind w:right="51" w:firstLine="960" w:firstLineChars="300"/>
        <w:jc w:val="left"/>
        <w:rPr>
          <w:rFonts w:ascii="仿宋_GB2312" w:hAnsi="Calibri" w:eastAsia="仿宋_GB2312" w:cs="Times New Roman"/>
          <w:sz w:val="32"/>
          <w:szCs w:val="32"/>
        </w:rPr>
      </w:pPr>
      <w:r>
        <w:rPr>
          <w:rFonts w:hint="eastAsia" w:ascii="仿宋_GB2312" w:hAnsi="Times New Roman" w:eastAsia="仿宋_GB2312" w:cs="仿宋_GB2312"/>
          <w:sz w:val="32"/>
          <w:szCs w:val="32"/>
        </w:rPr>
        <w:t>六、</w:t>
      </w:r>
      <w:r>
        <w:rPr>
          <w:rFonts w:hint="eastAsia" w:ascii="仿宋_GB2312" w:hAnsi="Calibri" w:eastAsia="仿宋_GB2312" w:cs="Times New Roman"/>
          <w:sz w:val="32"/>
          <w:szCs w:val="32"/>
        </w:rPr>
        <w:t>一般公共预算基本支出情况表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Calibri" w:eastAsia="仿宋_GB2312" w:cs="Times New Roman"/>
          <w:sz w:val="32"/>
          <w:szCs w:val="32"/>
        </w:rPr>
        <w:t>七、一般公共预算项目支出情况表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八、</w:t>
      </w:r>
      <w:r>
        <w:rPr>
          <w:rFonts w:hint="eastAsia" w:ascii="仿宋_GB2312" w:hAnsi="Calibri" w:eastAsia="仿宋_GB2312" w:cs="Times New Roman"/>
          <w:sz w:val="32"/>
          <w:szCs w:val="32"/>
        </w:rPr>
        <w:t>一般公共预算“三公”经费支出情况表</w:t>
      </w:r>
    </w:p>
    <w:p>
      <w:pPr>
        <w:kinsoku w:val="0"/>
        <w:overflowPunct w:val="0"/>
        <w:adjustRightInd w:val="0"/>
        <w:snapToGrid w:val="0"/>
        <w:spacing w:line="360" w:lineRule="auto"/>
        <w:ind w:right="51" w:firstLine="960" w:firstLineChars="300"/>
        <w:jc w:val="left"/>
        <w:rPr>
          <w:rFonts w:ascii="仿宋_GB2312" w:hAnsi="Calibri" w:eastAsia="仿宋_GB2312" w:cs="Times New Roman"/>
          <w:sz w:val="32"/>
          <w:szCs w:val="32"/>
        </w:rPr>
      </w:pPr>
      <w:r>
        <w:rPr>
          <w:rFonts w:hint="eastAsia" w:ascii="仿宋_GB2312" w:hAnsi="Times New Roman" w:eastAsia="仿宋_GB2312" w:cs="仿宋_GB2312"/>
          <w:sz w:val="32"/>
          <w:szCs w:val="32"/>
        </w:rPr>
        <w:t>九、</w:t>
      </w:r>
      <w:r>
        <w:rPr>
          <w:rFonts w:hint="eastAsia" w:ascii="仿宋_GB2312" w:hAnsi="Calibri" w:eastAsia="仿宋_GB2312" w:cs="Times New Roman"/>
          <w:sz w:val="32"/>
          <w:szCs w:val="32"/>
        </w:rPr>
        <w:t>政府性基金支出情况表</w:t>
      </w:r>
    </w:p>
    <w:p>
      <w:pPr>
        <w:kinsoku w:val="0"/>
        <w:overflowPunct w:val="0"/>
        <w:adjustRightInd w:val="0"/>
        <w:snapToGrid w:val="0"/>
        <w:spacing w:line="360" w:lineRule="auto"/>
        <w:ind w:right="51" w:firstLine="960" w:firstLineChars="300"/>
        <w:jc w:val="left"/>
        <w:rPr>
          <w:rFonts w:ascii="仿宋_GB2312" w:hAnsi="Calibri" w:eastAsia="仿宋_GB2312" w:cs="Times New Roman"/>
          <w:sz w:val="32"/>
          <w:szCs w:val="32"/>
        </w:rPr>
      </w:pPr>
      <w:r>
        <w:rPr>
          <w:rFonts w:hint="eastAsia" w:ascii="仿宋_GB2312" w:hAnsi="Calibri" w:eastAsia="仿宋_GB2312" w:cs="Times New Roman"/>
          <w:sz w:val="32"/>
          <w:szCs w:val="32"/>
        </w:rPr>
        <w:t>十、机关运行经费情况表（视情况是否上报或公开）</w:t>
      </w:r>
    </w:p>
    <w:p>
      <w:pPr>
        <w:kinsoku w:val="0"/>
        <w:overflowPunct w:val="0"/>
        <w:adjustRightInd w:val="0"/>
        <w:snapToGrid w:val="0"/>
        <w:spacing w:line="360" w:lineRule="auto"/>
        <w:ind w:right="51" w:firstLine="960" w:firstLineChars="300"/>
        <w:jc w:val="left"/>
        <w:rPr>
          <w:rFonts w:ascii="仿宋_GB2312" w:hAnsi="Calibri" w:eastAsia="仿宋_GB2312" w:cs="Times New Roman"/>
          <w:sz w:val="32"/>
          <w:szCs w:val="32"/>
        </w:rPr>
      </w:pPr>
      <w:r>
        <w:rPr>
          <w:rFonts w:hint="eastAsia" w:ascii="仿宋_GB2312" w:hAnsi="Calibri" w:eastAsia="仿宋_GB2312" w:cs="Times New Roman"/>
          <w:sz w:val="32"/>
          <w:szCs w:val="32"/>
        </w:rPr>
        <w:t>十一、政府采购表（公开用）</w:t>
      </w:r>
    </w:p>
    <w:p>
      <w:pPr>
        <w:kinsoku w:val="0"/>
        <w:overflowPunct w:val="0"/>
        <w:adjustRightInd w:val="0"/>
        <w:snapToGrid w:val="0"/>
        <w:spacing w:line="360" w:lineRule="auto"/>
        <w:ind w:right="51"/>
        <w:jc w:val="left"/>
        <w:rPr>
          <w:rFonts w:ascii="仿宋_GB2312" w:hAnsi="Times New Roman" w:eastAsia="仿宋_GB2312" w:cs="仿宋_GB2312"/>
          <w:sz w:val="32"/>
          <w:szCs w:val="32"/>
        </w:rPr>
      </w:pPr>
    </w:p>
    <w:p>
      <w:pPr>
        <w:spacing w:line="520" w:lineRule="exact"/>
        <w:ind w:firstLine="560" w:firstLineChars="200"/>
        <w:rPr>
          <w:rFonts w:ascii="黑体" w:hAnsi="黑体" w:eastAsia="黑体" w:cs="黑体"/>
          <w:sz w:val="28"/>
          <w:szCs w:val="28"/>
        </w:rPr>
      </w:pPr>
    </w:p>
    <w:p>
      <w:pPr>
        <w:spacing w:line="520" w:lineRule="exact"/>
        <w:ind w:firstLine="560" w:firstLineChars="200"/>
        <w:rPr>
          <w:rFonts w:hint="eastAsia" w:ascii="黑体" w:hAnsi="黑体" w:eastAsia="黑体" w:cs="黑体"/>
          <w:sz w:val="28"/>
          <w:szCs w:val="28"/>
        </w:rPr>
      </w:pPr>
    </w:p>
    <w:p>
      <w:pPr>
        <w:spacing w:line="520" w:lineRule="exact"/>
        <w:ind w:firstLine="560" w:firstLineChars="200"/>
        <w:rPr>
          <w:rFonts w:hint="eastAsia" w:ascii="黑体" w:hAnsi="黑体" w:eastAsia="黑体" w:cs="黑体"/>
          <w:sz w:val="28"/>
          <w:szCs w:val="28"/>
        </w:rPr>
      </w:pPr>
    </w:p>
    <w:p>
      <w:pPr>
        <w:spacing w:line="520" w:lineRule="exact"/>
        <w:ind w:firstLine="560" w:firstLineChars="200"/>
        <w:rPr>
          <w:rFonts w:hint="eastAsia" w:ascii="黑体" w:hAnsi="黑体" w:eastAsia="黑体" w:cs="黑体"/>
          <w:sz w:val="28"/>
          <w:szCs w:val="28"/>
        </w:rPr>
      </w:pPr>
    </w:p>
    <w:p>
      <w:pPr>
        <w:spacing w:line="520" w:lineRule="exact"/>
        <w:ind w:firstLine="560" w:firstLineChars="200"/>
        <w:rPr>
          <w:rFonts w:hint="eastAsia" w:ascii="黑体" w:hAnsi="黑体" w:eastAsia="黑体" w:cs="黑体"/>
          <w:sz w:val="28"/>
          <w:szCs w:val="28"/>
        </w:rPr>
      </w:pPr>
    </w:p>
    <w:p>
      <w:pPr>
        <w:spacing w:line="520" w:lineRule="exact"/>
        <w:ind w:firstLine="560" w:firstLineChars="200"/>
        <w:rPr>
          <w:rFonts w:hint="eastAsia" w:ascii="黑体" w:hAnsi="黑体" w:eastAsia="黑体" w:cs="黑体"/>
          <w:sz w:val="28"/>
          <w:szCs w:val="28"/>
        </w:rPr>
      </w:pPr>
    </w:p>
    <w:p>
      <w:pPr>
        <w:spacing w:line="520" w:lineRule="exact"/>
        <w:ind w:firstLine="560" w:firstLineChars="200"/>
        <w:rPr>
          <w:rFonts w:hint="eastAsia" w:ascii="黑体" w:hAnsi="黑体" w:eastAsia="黑体" w:cs="黑体"/>
          <w:sz w:val="28"/>
          <w:szCs w:val="28"/>
        </w:rPr>
      </w:pPr>
    </w:p>
    <w:p>
      <w:pPr>
        <w:spacing w:line="520" w:lineRule="exact"/>
        <w:ind w:firstLine="560" w:firstLineChars="200"/>
        <w:rPr>
          <w:rFonts w:hint="eastAsia" w:ascii="黑体" w:hAnsi="黑体" w:eastAsia="黑体" w:cs="黑体"/>
          <w:sz w:val="28"/>
          <w:szCs w:val="28"/>
        </w:rPr>
      </w:pPr>
    </w:p>
    <w:p>
      <w:pPr>
        <w:spacing w:line="520" w:lineRule="exact"/>
        <w:ind w:firstLine="560" w:firstLineChars="200"/>
        <w:rPr>
          <w:rFonts w:hint="eastAsia" w:ascii="黑体" w:hAnsi="黑体" w:eastAsia="黑体" w:cs="黑体"/>
          <w:sz w:val="28"/>
          <w:szCs w:val="28"/>
        </w:rPr>
      </w:pPr>
    </w:p>
    <w:p>
      <w:pPr>
        <w:spacing w:line="520" w:lineRule="exact"/>
        <w:ind w:firstLine="560" w:firstLineChars="200"/>
        <w:rPr>
          <w:rFonts w:hint="eastAsia" w:ascii="黑体" w:hAnsi="黑体" w:eastAsia="黑体" w:cs="黑体"/>
          <w:sz w:val="28"/>
          <w:szCs w:val="28"/>
        </w:rPr>
      </w:pPr>
    </w:p>
    <w:p>
      <w:pPr>
        <w:spacing w:line="520" w:lineRule="exact"/>
        <w:ind w:firstLine="560" w:firstLineChars="200"/>
        <w:rPr>
          <w:rFonts w:ascii="黑体" w:hAnsi="黑体" w:eastAsia="黑体" w:cs="黑体"/>
          <w:sz w:val="28"/>
          <w:szCs w:val="28"/>
        </w:rPr>
      </w:pPr>
    </w:p>
    <w:p>
      <w:pPr>
        <w:spacing w:line="500" w:lineRule="exact"/>
        <w:jc w:val="center"/>
        <w:rPr>
          <w:rFonts w:ascii="黑体" w:hAnsi="黑体" w:eastAsia="黑体" w:cs="黑体"/>
          <w:sz w:val="32"/>
          <w:szCs w:val="32"/>
        </w:rPr>
      </w:pPr>
      <w:r>
        <w:rPr>
          <w:rFonts w:hint="eastAsia" w:ascii="黑体" w:hAnsi="黑体" w:eastAsia="黑体" w:cs="黑体"/>
          <w:sz w:val="32"/>
          <w:szCs w:val="32"/>
        </w:rPr>
        <w:t>第一部分</w:t>
      </w:r>
    </w:p>
    <w:p>
      <w:pPr>
        <w:spacing w:line="500" w:lineRule="exact"/>
        <w:jc w:val="center"/>
        <w:rPr>
          <w:rFonts w:ascii="黑体" w:hAnsi="黑体" w:eastAsia="黑体" w:cs="黑体"/>
          <w:sz w:val="32"/>
          <w:szCs w:val="32"/>
        </w:rPr>
      </w:pPr>
      <w:r>
        <w:rPr>
          <w:rFonts w:hint="eastAsia" w:ascii="黑体" w:hAnsi="黑体" w:eastAsia="黑体" w:cs="黑体"/>
          <w:sz w:val="32"/>
          <w:szCs w:val="32"/>
        </w:rPr>
        <w:t>新乡学院概况</w:t>
      </w:r>
    </w:p>
    <w:p>
      <w:pPr>
        <w:spacing w:line="520" w:lineRule="exact"/>
        <w:ind w:firstLine="560" w:firstLineChars="200"/>
        <w:rPr>
          <w:rFonts w:ascii="黑体" w:hAnsi="黑体" w:eastAsia="黑体" w:cs="黑体"/>
          <w:sz w:val="28"/>
          <w:szCs w:val="28"/>
        </w:rPr>
      </w:pP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一、新乡学院主要职能</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乡学院是一所公办全日制普通本科院校，办学历史可以追溯到1949年成立的太行公立新乡师范学校，2007年经教育部批准，由原新乡师范高等专科学校、平原大学、新乡市教育学院合并升格为本科院校，2014年通过教育部本科教学工作合格评估。</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校园占地面积2130亩，校舍面积近70万平方米，教学科研仪器设备总值约4.2亿元，图书馆馆藏纸质图书168万册、电子图书111万余种、中外文报刊1520余种、各种数据库50种，有先进完善的计算机网络服务系统。设有55个本科专业、29个专科专业，涵盖工学、理学、管理学、经济学、教育学、文学、法学、艺术学、历史学、农学、医学等11个学科门类，专业设置与地方行业、企业需求高度契合，全日制本专科在校生25000余人，成教生1万余人。学校现有13个省级专业综合改革试点专业，12个省级、校级重点学科,</w:t>
      </w:r>
      <w:r>
        <w:rPr>
          <w:rFonts w:hint="eastAsia" w:ascii="仿宋_GB2312" w:hAnsi="仿宋_GB2312" w:eastAsia="仿宋_GB2312" w:cs="仿宋_GB2312"/>
          <w:b/>
          <w:kern w:val="0"/>
          <w:sz w:val="32"/>
          <w:szCs w:val="32"/>
        </w:rPr>
        <w:t>23个省、市级重点实验室和工程技术研究中心等研究机构，</w:t>
      </w:r>
      <w:r>
        <w:rPr>
          <w:rFonts w:hint="eastAsia" w:ascii="仿宋_GB2312" w:hAnsi="仿宋_GB2312" w:eastAsia="仿宋_GB2312" w:cs="仿宋_GB2312"/>
          <w:kern w:val="0"/>
          <w:sz w:val="32"/>
          <w:szCs w:val="32"/>
        </w:rPr>
        <w:t>先后承担各级各类科研项目1833项，获得地厅级以上科研奖励533项，被SCI、EI、CSSCI等收录或转载论文822篇，获得国家专利695件。</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有教职工1800人，专任教师1300人，具有高级职称的教师461人，具有博士、硕士学位教师1100人。有全国优秀教师、享受国务院特殊津贴专家、河南省优秀教师、河南省学术技术带头人、河南省中青年骨干教师等49人。学校大力实施人才强校战略，强力推进“5433人才师资队伍建设计划”，柔性引进院士、“长江学者”特聘教授、“国家杰出青年基金”获得者45人，师资队伍不断壮大，结构不断优化。</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紧密对接郑洛新国家自主创新示范区建设和“中国制造2025”试点示范城市群建设，全面贯彻落实“789战略行动计划”，深入推进转型发展，与120余家行业企业组建了3D打印产业技术联盟，成立了国内第一个本科层次3D打印学院，与企业行业共同组建电动汽车学院、心连心学院、电池学院、华兰学院、沿黄经济发展研究院等12个专业学院，建立了29个专业建设理事会，建成了12个协同育人创新中心，服务地方经济社会能力不断提升。</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坚持以人才培养为中心，以地方经济社会发展需求为导向，创新人才培养模式，推进教育教学改革，人才培养质量不断提升。近五年，学生在“挑战杯”大学生课外学术科技作品大赛、“蓝桥杯”全国软件设计大赛、全国大学生机械创新设计大赛、全国大学生数学建模大赛中获国家级一等奖52项、二等奖112项、三等奖97项，省级以上比赛获得奖项700余项，毕业生当年就业率始终保持在96%以上。学校先后获得“国家级语言文字规范化示范校”“全国‘三下乡’社会实践先进单位”“省级文明单位”“河南省高等教育教学先进单位”等40余项荣誉称号。</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学校高举习近平新时代中国特色社会主义思想伟大旗帜，全面深化改革，加快转型发展和学科提升,为建设成为“国内有影响、省内有地位、具有鲜明特色的高水平应用型大学”而努力奋斗！</w:t>
      </w:r>
    </w:p>
    <w:p>
      <w:pPr>
        <w:widowControl/>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二、新乡学院预算单位构成</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新乡学院是市一级预算单位。依据省、市编制委员会批复，我校内设机构79个，其中党委机关4个，纪检、工、团3个，行政机构16个，教辅及其它机构13个，教学机构27个，科研机构16个。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（一）党委机关（4个）</w:t>
      </w:r>
    </w:p>
    <w:p>
      <w:pPr>
        <w:widowControl/>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党委办公室、组织部、宣传部、统战部</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（二）纪检、工、团（3个）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纪委、工会、团委</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（三）行政机构（16个）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院长办公室、人事处、计财处、教务处、科研处、外事处、学生处（学工部）、招生办公室、后勤管理处、基建处 、监察处、审计处、国有资产管理处、保卫处 、离退休职工工作处、发展规划处</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（四）教辅及其它（13个）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教师发展中心、教学督导办公室 、学术委员会办公室、教学质量监测与评估中心、图书馆、期刊中心、大学生心理健康指导中心、现代教育技术信息中心、网络中心、创新创业就业中心（挂创新创业学院牌子）、后勤服务中心、综合档案室、校医院</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（五）教学机构（27个）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文学院、商学院、外国语学院、化学化工学院、机电工程学院、计算机与信息工程学院、管理学院、数学与信息科学学院、教育科学学院、物理与电子工程学院、艺术学院、新闻传播学院、土木工程与建筑学院、生命科学技术学院、历史与社会发展学院、音乐学院、体育学院、大学外语部、社会科学部（马克思主义学院）、继续教育学院、素质教育中心、实践教学中心、培训中心、国际教育学院、医学院、护理学院、3D打印学院</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（六）科研机构（16个）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高等教育研究所、能源与燃料研究所、心理健康教育研究所、公共政策研究所、文化与信息传播研究所、新乡发展研究院、会计与审计研究所、汉语言文字应用研究所、牧野文化研究所、新能源材料和电源系统研究所、先进制造技术研究所、纳米碳材料研究所、生物技术研究所、应用数学研究所、比干学院、新乡市习近平新时代中国特色社会主义思想</w:t>
      </w:r>
    </w:p>
    <w:p>
      <w:pPr>
        <w:ind w:firstLine="643" w:firstLineChars="200"/>
        <w:rPr>
          <w:rFonts w:ascii="仿宋_GB2312" w:eastAsia="仿宋_GB2312"/>
          <w:b/>
          <w:sz w:val="32"/>
          <w:szCs w:val="32"/>
        </w:rPr>
      </w:pPr>
      <w:r>
        <w:rPr>
          <w:rFonts w:hint="eastAsia" w:ascii="仿宋_GB2312" w:eastAsia="仿宋_GB2312"/>
          <w:b/>
          <w:sz w:val="32"/>
          <w:szCs w:val="32"/>
        </w:rPr>
        <w:t>三、部门人员编制总体情况</w:t>
      </w:r>
    </w:p>
    <w:p>
      <w:pPr>
        <w:ind w:firstLine="640" w:firstLineChars="200"/>
        <w:rPr>
          <w:rFonts w:ascii="仿宋_GB2312" w:eastAsia="仿宋_GB2312"/>
          <w:sz w:val="32"/>
          <w:szCs w:val="32"/>
        </w:rPr>
      </w:pPr>
      <w:r>
        <w:rPr>
          <w:rFonts w:hint="eastAsia" w:ascii="仿宋_GB2312" w:eastAsia="仿宋_GB2312"/>
          <w:sz w:val="32"/>
          <w:szCs w:val="32"/>
        </w:rPr>
        <w:t>总编制人数1666人，</w:t>
      </w:r>
      <w:r>
        <w:rPr>
          <w:rFonts w:hint="eastAsia" w:ascii="仿宋_GB2312" w:eastAsia="仿宋_GB2312"/>
          <w:bCs/>
          <w:sz w:val="32"/>
          <w:szCs w:val="32"/>
        </w:rPr>
        <w:t>其中，行政编制0人，全供事业编制</w:t>
      </w:r>
      <w:r>
        <w:rPr>
          <w:rFonts w:hint="eastAsia" w:ascii="仿宋_GB2312" w:eastAsia="仿宋_GB2312"/>
          <w:sz w:val="32"/>
          <w:szCs w:val="32"/>
        </w:rPr>
        <w:t>1666</w:t>
      </w:r>
      <w:r>
        <w:rPr>
          <w:rFonts w:hint="eastAsia" w:ascii="仿宋_GB2312" w:eastAsia="仿宋_GB2312"/>
          <w:bCs/>
          <w:sz w:val="32"/>
          <w:szCs w:val="32"/>
        </w:rPr>
        <w:t>人。</w:t>
      </w:r>
      <w:r>
        <w:rPr>
          <w:rFonts w:hint="eastAsia" w:ascii="仿宋_GB2312" w:eastAsia="仿宋_GB2312"/>
          <w:sz w:val="32"/>
          <w:szCs w:val="32"/>
        </w:rPr>
        <w:t>在职实有人数1682人，其中：行政编制0人，事业编制1270人；离退休人员412人，其中：离休403人、退休9人。</w:t>
      </w:r>
    </w:p>
    <w:p>
      <w:pPr>
        <w:spacing w:line="520" w:lineRule="exact"/>
        <w:ind w:firstLine="640" w:firstLineChars="200"/>
        <w:rPr>
          <w:rFonts w:ascii="黑体" w:hAnsi="黑体" w:eastAsia="黑体" w:cs="黑体"/>
          <w:kern w:val="0"/>
          <w:sz w:val="32"/>
          <w:szCs w:val="32"/>
        </w:rPr>
      </w:pPr>
    </w:p>
    <w:p>
      <w:pPr>
        <w:spacing w:line="520" w:lineRule="exact"/>
        <w:ind w:firstLine="640" w:firstLineChars="200"/>
        <w:rPr>
          <w:rFonts w:ascii="黑体" w:hAnsi="黑体" w:eastAsia="黑体" w:cs="黑体"/>
          <w:kern w:val="0"/>
          <w:sz w:val="32"/>
          <w:szCs w:val="32"/>
        </w:rPr>
      </w:pPr>
    </w:p>
    <w:p>
      <w:pPr>
        <w:widowControl/>
        <w:jc w:val="center"/>
        <w:rPr>
          <w:rFonts w:ascii="黑体" w:hAnsi="黑体" w:eastAsia="黑体" w:cs="仿宋_GB2312"/>
          <w:kern w:val="0"/>
          <w:sz w:val="32"/>
          <w:szCs w:val="32"/>
        </w:rPr>
      </w:pPr>
      <w:r>
        <w:rPr>
          <w:rFonts w:hint="eastAsia" w:ascii="黑体" w:hAnsi="黑体" w:eastAsia="黑体" w:cs="仿宋_GB2312"/>
          <w:kern w:val="0"/>
          <w:sz w:val="32"/>
          <w:szCs w:val="32"/>
        </w:rPr>
        <w:t>第二部分</w:t>
      </w:r>
    </w:p>
    <w:p>
      <w:pPr>
        <w:widowControl/>
        <w:jc w:val="center"/>
        <w:rPr>
          <w:rFonts w:ascii="黑体" w:hAnsi="黑体" w:eastAsia="黑体" w:cs="仿宋_GB2312"/>
          <w:kern w:val="0"/>
          <w:sz w:val="32"/>
          <w:szCs w:val="32"/>
        </w:rPr>
      </w:pPr>
      <w:r>
        <w:rPr>
          <w:rFonts w:hint="eastAsia" w:ascii="黑体" w:hAnsi="黑体" w:eastAsia="黑体" w:cs="仿宋_GB2312"/>
          <w:kern w:val="0"/>
          <w:sz w:val="32"/>
          <w:szCs w:val="32"/>
        </w:rPr>
        <w:t>新乡学院2018年度部门预算情况说明</w:t>
      </w:r>
    </w:p>
    <w:p>
      <w:pPr>
        <w:widowControl/>
        <w:jc w:val="center"/>
        <w:rPr>
          <w:rFonts w:ascii="仿宋_GB2312" w:hAnsi="仿宋_GB2312" w:eastAsia="仿宋_GB2312" w:cs="仿宋_GB2312"/>
          <w:kern w:val="0"/>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一、收入支出预算总体情况说明</w:t>
      </w:r>
    </w:p>
    <w:p>
      <w:pPr>
        <w:widowControl/>
        <w:ind w:firstLine="640" w:firstLineChars="200"/>
        <w:jc w:val="left"/>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新乡学院2018年收入预算43,459.15万元，支出预算43,459.15万元，与2016年相比，收、支总计各下降4090.02万元，</w:t>
      </w:r>
      <w:r>
        <w:rPr>
          <w:rFonts w:hint="eastAsia" w:ascii="仿宋_GB2312" w:eastAsia="仿宋_GB2312"/>
          <w:sz w:val="32"/>
          <w:szCs w:val="32"/>
        </w:rPr>
        <w:t>主要原因：是2017年财政加大盘活结余结转资金力度，上年结余结转资金为零。</w:t>
      </w:r>
    </w:p>
    <w:p>
      <w:pPr>
        <w:ind w:firstLine="643" w:firstLineChars="200"/>
        <w:rPr>
          <w:rFonts w:ascii="仿宋_GB2312" w:eastAsia="仿宋_GB2312"/>
          <w:b/>
          <w:sz w:val="32"/>
          <w:szCs w:val="32"/>
        </w:rPr>
      </w:pPr>
      <w:r>
        <w:rPr>
          <w:rFonts w:hint="eastAsia" w:ascii="仿宋_GB2312" w:eastAsia="仿宋_GB2312"/>
          <w:b/>
          <w:sz w:val="32"/>
          <w:szCs w:val="32"/>
        </w:rPr>
        <w:t>二、收入预算说明</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新乡学院2018年收入预算43,459.15万元，其中：一般公共预算32,459.15万元、纳入财政专户管理收费11,000万元。</w:t>
      </w:r>
    </w:p>
    <w:p>
      <w:pPr>
        <w:ind w:firstLine="643" w:firstLineChars="200"/>
        <w:rPr>
          <w:rFonts w:ascii="仿宋_GB2312" w:eastAsia="仿宋_GB2312"/>
          <w:b/>
          <w:sz w:val="32"/>
          <w:szCs w:val="32"/>
        </w:rPr>
      </w:pPr>
      <w:r>
        <w:rPr>
          <w:rFonts w:hint="eastAsia" w:ascii="仿宋_GB2312" w:eastAsia="仿宋_GB2312"/>
          <w:b/>
          <w:sz w:val="32"/>
          <w:szCs w:val="32"/>
        </w:rPr>
        <w:t>三、支出预算说明</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乡学院2018年支出预算43,459.15万元，其中：工资福利支出18,839.14万元、公用经费支出914.4万元、对个人和家庭的补助767.66万元、项目支出22,937.95万元。项目支出主要是：入伍大学生生活费补助、维持学校基本运转支出、普通高校国家奖助学金、学生助学贷款贴息和风险补偿金、新乡学院生均拨款奖补。</w:t>
      </w:r>
    </w:p>
    <w:p>
      <w:pPr>
        <w:ind w:firstLine="643" w:firstLineChars="200"/>
        <w:rPr>
          <w:rFonts w:ascii="仿宋_GB2312" w:eastAsia="仿宋_GB2312"/>
          <w:b/>
          <w:sz w:val="32"/>
          <w:szCs w:val="32"/>
        </w:rPr>
      </w:pPr>
      <w:r>
        <w:rPr>
          <w:rFonts w:hint="eastAsia" w:ascii="仿宋_GB2312" w:eastAsia="仿宋_GB2312"/>
          <w:b/>
          <w:sz w:val="32"/>
          <w:szCs w:val="32"/>
        </w:rPr>
        <w:t>四、财政拨款收入支出预算总体情况说明</w:t>
      </w:r>
    </w:p>
    <w:p>
      <w:pPr>
        <w:widowControl/>
        <w:ind w:firstLine="640" w:firstLineChars="200"/>
        <w:jc w:val="left"/>
        <w:rPr>
          <w:rFonts w:ascii="仿宋_GB2312" w:hAnsi="仿宋_GB2312" w:eastAsia="仿宋_GB2312" w:cs="仿宋_GB2312"/>
          <w:kern w:val="0"/>
          <w:sz w:val="32"/>
          <w:szCs w:val="32"/>
        </w:rPr>
      </w:pPr>
      <w:r>
        <w:rPr>
          <w:rFonts w:hint="eastAsia" w:ascii="仿宋_GB2312" w:eastAsia="仿宋_GB2312"/>
          <w:sz w:val="32"/>
          <w:szCs w:val="32"/>
        </w:rPr>
        <w:t>新乡学院2018年财政拨款收支预算32459.15万元，与 2017 年相比，增加11.77%；政府性基金收支预算0万元，与 2017 年相同。</w:t>
      </w:r>
    </w:p>
    <w:p>
      <w:pPr>
        <w:ind w:firstLine="643" w:firstLineChars="200"/>
        <w:rPr>
          <w:rFonts w:ascii="仿宋_GB2312" w:eastAsia="仿宋_GB2312"/>
          <w:b/>
          <w:sz w:val="32"/>
          <w:szCs w:val="32"/>
        </w:rPr>
      </w:pPr>
      <w:r>
        <w:rPr>
          <w:rFonts w:hint="eastAsia" w:ascii="仿宋_GB2312" w:eastAsia="仿宋_GB2312"/>
          <w:b/>
          <w:sz w:val="32"/>
          <w:szCs w:val="32"/>
        </w:rPr>
        <w:t>五、一般公共预算支出情况说明</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乡学院2018年一般公共预算支出年初预算为32,459.15万元。主要用于以下方面：高等教育支出30,459.54万元，占93.84%；事业单位离退休支出793.97万元，占2.45%；死亡抚恤支出11.67万元，占0.03%；其他社会保障和就业支出158.74万元，占0.49%；事业单位医疗支出690.15万元，占2.13%；公务员医疗补助支出345.08万元，占1.06%。</w:t>
      </w:r>
    </w:p>
    <w:p>
      <w:pPr>
        <w:ind w:firstLine="643" w:firstLineChars="200"/>
        <w:rPr>
          <w:rFonts w:ascii="仿宋_GB2312" w:eastAsia="仿宋_GB2312"/>
          <w:b/>
          <w:sz w:val="32"/>
          <w:szCs w:val="32"/>
        </w:rPr>
      </w:pPr>
      <w:r>
        <w:rPr>
          <w:rFonts w:hint="eastAsia" w:ascii="仿宋_GB2312" w:eastAsia="仿宋_GB2312"/>
          <w:b/>
          <w:sz w:val="32"/>
          <w:szCs w:val="32"/>
        </w:rPr>
        <w:t>六、一般公共预算基本支出预算情况说明</w:t>
      </w:r>
    </w:p>
    <w:p>
      <w:pPr>
        <w:widowControl/>
        <w:ind w:firstLine="640" w:firstLineChars="200"/>
        <w:jc w:val="left"/>
        <w:rPr>
          <w:rFonts w:ascii="仿宋_GB2312" w:hAnsi="仿宋_GB2312" w:eastAsia="仿宋_GB2312" w:cs="仿宋_GB2312"/>
          <w:color w:val="FF0000"/>
          <w:kern w:val="0"/>
          <w:sz w:val="32"/>
          <w:szCs w:val="32"/>
        </w:rPr>
      </w:pPr>
      <w:r>
        <w:rPr>
          <w:rFonts w:hint="eastAsia" w:ascii="仿宋_GB2312" w:eastAsia="仿宋_GB2312"/>
          <w:sz w:val="32"/>
          <w:szCs w:val="32"/>
        </w:rPr>
        <w:t>新乡学院2018年一般公共预算基本支出16449.64万元，其中：人员经费15669.57万元，主要包括：基本工资、津贴补贴、 年度目标考核奖、在职文明单位奖励、绩效工资、机关事业单位基本养老保险缴费、城镇职工基本医疗保险缴费、公务员医疗补助缴费、生育保险、失业保险、工伤保险、住房公积金、离休费、部分离休人员增发1-3个月及基本工资、离休人员健康休养费、退休费（不含参改人员养老金）、退休人员健康休养费、遗属补助；公用经费780.07万元，主要包括：一般公用定额、公务用车运行补助、离退休人员公用经费及活动费、离休人员特需等支出。</w:t>
      </w:r>
    </w:p>
    <w:p>
      <w:pPr>
        <w:ind w:firstLine="643" w:firstLineChars="200"/>
        <w:rPr>
          <w:rFonts w:ascii="仿宋_GB2312" w:eastAsia="仿宋_GB2312"/>
          <w:b/>
          <w:sz w:val="32"/>
          <w:szCs w:val="32"/>
        </w:rPr>
      </w:pPr>
      <w:r>
        <w:rPr>
          <w:rFonts w:hint="eastAsia" w:ascii="仿宋_GB2312" w:eastAsia="仿宋_GB2312"/>
          <w:b/>
          <w:sz w:val="32"/>
          <w:szCs w:val="32"/>
        </w:rPr>
        <w:t>七、一般公共预算项目支出情况说明</w:t>
      </w:r>
    </w:p>
    <w:p>
      <w:pPr>
        <w:ind w:firstLine="640" w:firstLineChars="200"/>
        <w:rPr>
          <w:rFonts w:ascii="仿宋_GB2312" w:eastAsia="仿宋_GB2312"/>
          <w:sz w:val="32"/>
          <w:szCs w:val="32"/>
        </w:rPr>
      </w:pPr>
      <w:r>
        <w:rPr>
          <w:rFonts w:hint="eastAsia" w:ascii="仿宋_GB2312" w:eastAsia="仿宋_GB2312"/>
          <w:sz w:val="32"/>
          <w:szCs w:val="32"/>
        </w:rPr>
        <w:t>新乡学院2018年一般公共预算安排项目支出预算16009.51万元，全部纳入项目绩效目标管理。其中：运转类项目14341.89万元。</w:t>
      </w:r>
    </w:p>
    <w:p>
      <w:pPr>
        <w:ind w:firstLine="643" w:firstLineChars="200"/>
        <w:rPr>
          <w:rFonts w:ascii="仿宋_GB2312" w:eastAsia="仿宋_GB2312"/>
          <w:b/>
          <w:color w:val="auto"/>
          <w:sz w:val="32"/>
          <w:szCs w:val="32"/>
        </w:rPr>
      </w:pPr>
      <w:r>
        <w:rPr>
          <w:rFonts w:hint="eastAsia" w:ascii="仿宋_GB2312" w:eastAsia="仿宋_GB2312"/>
          <w:b/>
          <w:color w:val="auto"/>
          <w:sz w:val="32"/>
          <w:szCs w:val="32"/>
        </w:rPr>
        <w:t>八、“三公”经费预算情况说明</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新乡学院2018 年“三公”经费预算为285万元。主要用于以下方面:因公出国（境）费支出65万元；公务接待费支出60万元；公务用车购置及运行费支出160万元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其中：公务用车购置50万元，公务用车运行费110万元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。2017年“三公”经费为285万元。其中：因公出国（境）费支出75万元；公务接待费支出60万元；公务用车购置及运行费支出150万元。与上年比较因公出国（境）费有所下降,公务用车购置及运行费略有增加。</w:t>
      </w:r>
    </w:p>
    <w:p>
      <w:pPr>
        <w:ind w:firstLine="643" w:firstLineChars="200"/>
        <w:rPr>
          <w:rFonts w:ascii="仿宋_GB2312" w:eastAsia="仿宋_GB2312"/>
          <w:b/>
          <w:sz w:val="32"/>
          <w:szCs w:val="32"/>
        </w:rPr>
      </w:pPr>
      <w:r>
        <w:rPr>
          <w:rFonts w:hint="eastAsia" w:ascii="仿宋_GB2312" w:eastAsia="仿宋_GB2312"/>
          <w:b/>
          <w:sz w:val="32"/>
          <w:szCs w:val="32"/>
        </w:rPr>
        <w:t>九、政府性基金预算支出情况说明</w:t>
      </w:r>
      <w:bookmarkStart w:id="0" w:name="_GoBack"/>
      <w:bookmarkEnd w:id="0"/>
    </w:p>
    <w:p>
      <w:pPr>
        <w:ind w:firstLine="640" w:firstLineChars="200"/>
        <w:rPr>
          <w:rFonts w:ascii="仿宋_GB2312" w:eastAsia="仿宋_GB2312"/>
          <w:sz w:val="32"/>
          <w:szCs w:val="32"/>
        </w:rPr>
      </w:pPr>
      <w:r>
        <w:rPr>
          <w:rFonts w:hint="eastAsia" w:ascii="仿宋_GB2312" w:eastAsia="仿宋_GB2312"/>
          <w:sz w:val="32"/>
          <w:szCs w:val="32"/>
        </w:rPr>
        <w:t>新乡学院2018年政府性基金预算安排项目支出预算0万元，全部纳入项目绩效目标管理。其中：运转类项目0万元，投资类项目0万元。</w:t>
      </w:r>
    </w:p>
    <w:p>
      <w:pPr>
        <w:ind w:firstLine="643" w:firstLineChars="200"/>
        <w:rPr>
          <w:rFonts w:ascii="仿宋_GB2312" w:eastAsia="仿宋_GB2312"/>
          <w:b/>
          <w:sz w:val="32"/>
          <w:szCs w:val="32"/>
        </w:rPr>
      </w:pPr>
      <w:r>
        <w:rPr>
          <w:rFonts w:hint="eastAsia" w:ascii="仿宋_GB2312" w:eastAsia="仿宋_GB2312"/>
          <w:b/>
          <w:sz w:val="32"/>
          <w:szCs w:val="32"/>
        </w:rPr>
        <w:t>十、机关运行经费支出情况</w:t>
      </w:r>
    </w:p>
    <w:p>
      <w:pPr>
        <w:ind w:firstLine="640" w:firstLineChars="200"/>
        <w:rPr>
          <w:rFonts w:ascii="仿宋_GB2312" w:eastAsia="仿宋_GB2312"/>
          <w:sz w:val="32"/>
          <w:szCs w:val="32"/>
        </w:rPr>
      </w:pPr>
      <w:r>
        <w:rPr>
          <w:rFonts w:hint="eastAsia" w:ascii="仿宋_GB2312" w:eastAsia="仿宋_GB2312"/>
          <w:sz w:val="32"/>
          <w:szCs w:val="32"/>
        </w:rPr>
        <w:t>新乡学院是全供事业单位，2018年运行经费支出预算为零。</w:t>
      </w:r>
    </w:p>
    <w:p>
      <w:pPr>
        <w:ind w:firstLine="643" w:firstLineChars="200"/>
        <w:rPr>
          <w:rFonts w:ascii="仿宋_GB2312" w:eastAsia="仿宋_GB2312"/>
          <w:b/>
          <w:sz w:val="32"/>
          <w:szCs w:val="32"/>
        </w:rPr>
      </w:pPr>
      <w:r>
        <w:rPr>
          <w:rFonts w:hint="eastAsia" w:ascii="仿宋_GB2312" w:eastAsia="仿宋_GB2312"/>
          <w:b/>
          <w:sz w:val="32"/>
          <w:szCs w:val="32"/>
        </w:rPr>
        <w:t>十一、政府采购支出情况</w:t>
      </w:r>
    </w:p>
    <w:p>
      <w:pPr>
        <w:ind w:firstLine="640" w:firstLineChars="200"/>
        <w:rPr>
          <w:rFonts w:ascii="仿宋_GB2312" w:eastAsia="仿宋_GB2312"/>
          <w:sz w:val="32"/>
          <w:szCs w:val="32"/>
        </w:rPr>
      </w:pPr>
      <w:r>
        <w:rPr>
          <w:rFonts w:hint="eastAsia" w:ascii="仿宋_GB2312" w:eastAsia="仿宋_GB2312"/>
          <w:sz w:val="32"/>
          <w:szCs w:val="32"/>
        </w:rPr>
        <w:t>新乡学院2018年政府采购预算安排4050万元，其中：物品、服务采购支出2200万元，工程采购支出1850万元。</w:t>
      </w:r>
    </w:p>
    <w:p>
      <w:pPr>
        <w:ind w:firstLine="643" w:firstLineChars="200"/>
        <w:rPr>
          <w:rFonts w:ascii="仿宋_GB2312" w:eastAsia="仿宋_GB2312"/>
          <w:b/>
          <w:sz w:val="32"/>
          <w:szCs w:val="32"/>
        </w:rPr>
      </w:pPr>
      <w:r>
        <w:rPr>
          <w:rFonts w:hint="eastAsia" w:ascii="仿宋_GB2312" w:eastAsia="仿宋_GB2312"/>
          <w:b/>
          <w:sz w:val="32"/>
          <w:szCs w:val="32"/>
        </w:rPr>
        <w:t>十二、预算绩效管理工作开展情况说明</w:t>
      </w:r>
    </w:p>
    <w:p>
      <w:pPr>
        <w:widowControl/>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（一）绩效管理工作开展情况</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为进一步深化财务管理体制改革，建立以绩效考核为导向的财务收支体系，充分调动各部门工作的积极性、主动性，提高财务管理能力和工作效率，发挥资金效益，</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加强预算的绩效管理与绩效考评，根据《中华人民共和国预算法》、财政部《财政支出绩效评价管理暂行办法》、《河南省财政支出绩效评价试行办法》《河南省财政厅关于加强预算绩效管理的通知》、新乡市财政局《中期财政规划绩效考核办法（试行）》，我校于2017年12月制定实施了《新乡学院财务收支绩效考核办法（试行）》（院财字〔2017〕3号），建立以绩效考核为导向的财务收支体系，充分调动各部门工作的积极性、主动性，提高财务管理能力和工作效率，发挥资金效益。逐步形成以“绩效为中心、对支出结果负责”的理念，在绩效目标编制方面，针对绩效目标设置指向不清、预算和目标匹配不足，数量目标和质量目标量化不细，效益目标编制不完整等方面加以改善。加强预算绩效动态监控管理及年终量化考评，并将考评结果与下年度部门业务费预算额度挂钩。</w:t>
      </w:r>
    </w:p>
    <w:p>
      <w:pPr>
        <w:widowControl/>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（二）项目绩效自评结果</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预算绩效考核要求，我校对于实施项目均采取事前论证、事中控制、事后考核的全过程管理。项目实施前，首先对项目的必要性、可行性、效益性进行充分论证，在此基础上执行项目绩效目标、编制项目预算；其次，在项目实施过程中，加强项目资金预算管理，所有资金均在国家财经法规和学校财务制度框架内按预算支出；最后，项目完成后，学校根据项目绩效目标进行绩效考核，及时总结经验得失。目前从自评情况看，我校已实施完成的项目绩效评价结果基本达到预期。</w:t>
      </w:r>
    </w:p>
    <w:p>
      <w:pPr>
        <w:widowControl/>
        <w:ind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十三、国有资产占用情况说明</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2017年资产总额177308.44万元，较上年增长1.88%。其中：固定资产133260.91万元，无形资产488.16万元。</w:t>
      </w:r>
    </w:p>
    <w:p>
      <w:pPr>
        <w:widowControl/>
        <w:ind w:firstLine="640" w:firstLineChars="200"/>
        <w:jc w:val="left"/>
        <w:rPr>
          <w:rFonts w:ascii="仿宋_GB2312" w:hAnsi="仿宋_GB2312" w:eastAsia="仿宋_GB2312" w:cs="仿宋_GB2312"/>
          <w:kern w:val="0"/>
          <w:sz w:val="32"/>
          <w:szCs w:val="32"/>
        </w:rPr>
      </w:pPr>
    </w:p>
    <w:p>
      <w:pPr>
        <w:widowControl/>
        <w:jc w:val="center"/>
        <w:rPr>
          <w:rFonts w:ascii="黑体" w:hAnsi="黑体" w:eastAsia="黑体" w:cs="仿宋_GB2312"/>
          <w:kern w:val="0"/>
          <w:sz w:val="32"/>
          <w:szCs w:val="32"/>
        </w:rPr>
      </w:pPr>
      <w:r>
        <w:rPr>
          <w:rFonts w:hint="eastAsia" w:ascii="黑体" w:hAnsi="黑体" w:eastAsia="黑体" w:cs="仿宋_GB2312"/>
          <w:kern w:val="0"/>
          <w:sz w:val="32"/>
          <w:szCs w:val="32"/>
        </w:rPr>
        <w:t>第三部分</w:t>
      </w:r>
    </w:p>
    <w:p>
      <w:pPr>
        <w:widowControl/>
        <w:jc w:val="center"/>
        <w:rPr>
          <w:rFonts w:ascii="黑体" w:hAnsi="黑体" w:eastAsia="黑体" w:cs="仿宋_GB2312"/>
          <w:kern w:val="0"/>
          <w:sz w:val="32"/>
          <w:szCs w:val="32"/>
        </w:rPr>
      </w:pPr>
      <w:r>
        <w:rPr>
          <w:rFonts w:hint="eastAsia" w:ascii="黑体" w:hAnsi="黑体" w:eastAsia="黑体" w:cs="仿宋_GB2312"/>
          <w:kern w:val="0"/>
          <w:sz w:val="32"/>
          <w:szCs w:val="32"/>
        </w:rPr>
        <w:t>名词解释</w:t>
      </w:r>
    </w:p>
    <w:p>
      <w:pPr>
        <w:widowControl/>
        <w:jc w:val="center"/>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一、财政拨款：是指市级财政当年拨付的纳入一般公共预算和政府性基金预算管理的资金。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二、纳入财政专户管理收费：指按照上级有关规定，教育部门收取的，暂不缴入国库，纳入财政专户管理的各项收费。</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三、单位其他收入：指未纳入一般公共预算、政府性基金预算、财政专户管理，不缴入国库、财政专户的单位事业收入、经营收入和其他收入。</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四、基本支出：是指为保障机构正常运转、完成日常工作任务所必需的、不能纳入项目绩效管理的开支。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项目支出：是指在基本支出之外，为完成特定的行政工作任务或事业发展目标所发生的能够纳入项目绩效管理的支出。根据项目管理方式不同，依次选择“专项资金、投资类项目、运转类项目和其他项目”。其中：</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投资类项目指单个项目投资额度在100万元以上，纳入发改委项目储备库或年度投资计划的项目资金和土地储备项目资金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其他项目指除上述三类项目外的项目支出。</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ind w:firstLine="640" w:firstLineChars="200"/>
        <w:jc w:val="left"/>
        <w:rPr>
          <w:rFonts w:ascii="仿宋_GB2312" w:hAnsi="仿宋_GB2312" w:eastAsia="仿宋_GB2312" w:cs="仿宋_GB2312"/>
          <w:kern w:val="0"/>
          <w:sz w:val="32"/>
          <w:szCs w:val="32"/>
        </w:rPr>
      </w:pPr>
    </w:p>
    <w:p>
      <w:pPr>
        <w:spacing w:line="360" w:lineRule="auto"/>
        <w:ind w:firstLine="7520" w:firstLineChars="2350"/>
        <w:rPr>
          <w:rFonts w:ascii="仿宋_GB2312" w:hAnsi="Times New Roman" w:eastAsia="仿宋_GB2312" w:cs="Times New Roman"/>
          <w:sz w:val="32"/>
          <w:szCs w:val="32"/>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72"/>
    <w:rsid w:val="000171D2"/>
    <w:rsid w:val="000343DA"/>
    <w:rsid w:val="00075353"/>
    <w:rsid w:val="000825D7"/>
    <w:rsid w:val="000F4815"/>
    <w:rsid w:val="000F717D"/>
    <w:rsid w:val="00164A3A"/>
    <w:rsid w:val="001C0445"/>
    <w:rsid w:val="00206EB6"/>
    <w:rsid w:val="002763FA"/>
    <w:rsid w:val="002A3520"/>
    <w:rsid w:val="0038003D"/>
    <w:rsid w:val="00391D09"/>
    <w:rsid w:val="003E0F01"/>
    <w:rsid w:val="003F7055"/>
    <w:rsid w:val="00434971"/>
    <w:rsid w:val="00463656"/>
    <w:rsid w:val="00475E4E"/>
    <w:rsid w:val="0048088C"/>
    <w:rsid w:val="0049232E"/>
    <w:rsid w:val="004A3E60"/>
    <w:rsid w:val="004A6213"/>
    <w:rsid w:val="004C4921"/>
    <w:rsid w:val="00511191"/>
    <w:rsid w:val="00547CDC"/>
    <w:rsid w:val="00553BC8"/>
    <w:rsid w:val="005561E7"/>
    <w:rsid w:val="005A3B96"/>
    <w:rsid w:val="005C026D"/>
    <w:rsid w:val="005C5C3A"/>
    <w:rsid w:val="00604D15"/>
    <w:rsid w:val="0061570A"/>
    <w:rsid w:val="006338F9"/>
    <w:rsid w:val="00656BE3"/>
    <w:rsid w:val="006E3B05"/>
    <w:rsid w:val="00725F2A"/>
    <w:rsid w:val="00735343"/>
    <w:rsid w:val="007812E0"/>
    <w:rsid w:val="007B7318"/>
    <w:rsid w:val="007E2864"/>
    <w:rsid w:val="007F67D1"/>
    <w:rsid w:val="00844FDA"/>
    <w:rsid w:val="00851178"/>
    <w:rsid w:val="008C23C0"/>
    <w:rsid w:val="00904F45"/>
    <w:rsid w:val="00923FC0"/>
    <w:rsid w:val="0092461E"/>
    <w:rsid w:val="0094305A"/>
    <w:rsid w:val="009D67DE"/>
    <w:rsid w:val="009E0CB2"/>
    <w:rsid w:val="00A06198"/>
    <w:rsid w:val="00A30DDF"/>
    <w:rsid w:val="00A44BA7"/>
    <w:rsid w:val="00A93C35"/>
    <w:rsid w:val="00AA1CBB"/>
    <w:rsid w:val="00AE2F92"/>
    <w:rsid w:val="00B82465"/>
    <w:rsid w:val="00BB0A81"/>
    <w:rsid w:val="00BC0A6E"/>
    <w:rsid w:val="00BE65AC"/>
    <w:rsid w:val="00BF1872"/>
    <w:rsid w:val="00C07F44"/>
    <w:rsid w:val="00C142D1"/>
    <w:rsid w:val="00C5458C"/>
    <w:rsid w:val="00C86B3C"/>
    <w:rsid w:val="00CA145E"/>
    <w:rsid w:val="00D036B8"/>
    <w:rsid w:val="00D3248E"/>
    <w:rsid w:val="00D51DE8"/>
    <w:rsid w:val="00DA0F20"/>
    <w:rsid w:val="00E65A20"/>
    <w:rsid w:val="00EC1EFB"/>
    <w:rsid w:val="00EC57D4"/>
    <w:rsid w:val="00F01154"/>
    <w:rsid w:val="00F953C3"/>
    <w:rsid w:val="0ABA5D24"/>
    <w:rsid w:val="1F092C76"/>
    <w:rsid w:val="2089606E"/>
    <w:rsid w:val="3A9D7939"/>
    <w:rsid w:val="433575D3"/>
    <w:rsid w:val="497B799C"/>
    <w:rsid w:val="5203159A"/>
    <w:rsid w:val="53AD73D7"/>
    <w:rsid w:val="55C51FC5"/>
    <w:rsid w:val="5A160FDB"/>
    <w:rsid w:val="5BDE05C6"/>
    <w:rsid w:val="642052D3"/>
    <w:rsid w:val="69CD45A5"/>
    <w:rsid w:val="6BA61D33"/>
    <w:rsid w:val="6D85303B"/>
    <w:rsid w:val="7CDB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34"/>
    <w:pPr>
      <w:ind w:firstLine="420" w:firstLineChars="200"/>
    </w:pPr>
  </w:style>
  <w:style w:type="character" w:customStyle="1" w:styleId="9">
    <w:name w:val="页眉 Char"/>
    <w:basedOn w:val="7"/>
    <w:link w:val="4"/>
    <w:uiPriority w:val="99"/>
    <w:rPr>
      <w:rFonts w:asciiTheme="minorHAnsi" w:hAnsiTheme="minorHAnsi" w:eastAsiaTheme="minorEastAsia" w:cstheme="minorBidi"/>
      <w:kern w:val="2"/>
      <w:sz w:val="18"/>
      <w:szCs w:val="18"/>
    </w:rPr>
  </w:style>
  <w:style w:type="character" w:customStyle="1" w:styleId="10">
    <w:name w:val="页脚 Char"/>
    <w:basedOn w:val="7"/>
    <w:link w:val="3"/>
    <w:uiPriority w:val="99"/>
    <w:rPr>
      <w:rFonts w:asciiTheme="minorHAnsi" w:hAnsiTheme="minorHAnsi" w:eastAsiaTheme="minorEastAsia" w:cstheme="minorBidi"/>
      <w:kern w:val="2"/>
      <w:sz w:val="18"/>
      <w:szCs w:val="18"/>
    </w:rPr>
  </w:style>
  <w:style w:type="paragraph" w:styleId="11">
    <w:name w:val="List Paragraph"/>
    <w:basedOn w:val="1"/>
    <w:unhideWhenUsed/>
    <w:uiPriority w:val="99"/>
    <w:pPr>
      <w:ind w:firstLine="420" w:firstLineChars="200"/>
    </w:pPr>
  </w:style>
  <w:style w:type="paragraph" w:customStyle="1" w:styleId="12">
    <w:name w:val="vsbcontent_star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批注框文本 Char"/>
    <w:basedOn w:val="7"/>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839</Words>
  <Characters>4787</Characters>
  <Lines>39</Lines>
  <Paragraphs>11</Paragraphs>
  <TotalTime>480</TotalTime>
  <ScaleCrop>false</ScaleCrop>
  <LinksUpToDate>false</LinksUpToDate>
  <CharactersWithSpaces>5615</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2016-04-26T06:41:00Z</dcterms:created>
  <dc:creator>admin</dc:creator>
  <cp:lastModifiedBy>励学国际教务</cp:lastModifiedBy>
  <cp:lastPrinted>2018-10-26T09:29:00Z</cp:lastPrinted>
  <dcterms:modified xsi:type="dcterms:W3CDTF">2019-01-30T06:22:29Z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