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2"/>
          <w:szCs w:val="52"/>
        </w:rPr>
      </w:pPr>
    </w:p>
    <w:p>
      <w:pPr>
        <w:adjustRightInd w:val="0"/>
        <w:snapToGrid w:val="0"/>
        <w:spacing w:line="360" w:lineRule="auto"/>
        <w:jc w:val="center"/>
        <w:rPr>
          <w:rFonts w:ascii="宋体" w:hAnsi="宋体"/>
          <w:b/>
          <w:sz w:val="52"/>
          <w:szCs w:val="52"/>
        </w:rPr>
      </w:pPr>
    </w:p>
    <w:p>
      <w:pPr>
        <w:adjustRightInd w:val="0"/>
        <w:snapToGrid w:val="0"/>
        <w:spacing w:line="360" w:lineRule="auto"/>
        <w:jc w:val="center"/>
        <w:rPr>
          <w:rFonts w:ascii="宋体" w:hAnsi="宋体"/>
          <w:b/>
          <w:sz w:val="52"/>
          <w:szCs w:val="52"/>
        </w:rPr>
      </w:pPr>
    </w:p>
    <w:p>
      <w:pPr>
        <w:adjustRightInd w:val="0"/>
        <w:snapToGrid w:val="0"/>
        <w:spacing w:line="360" w:lineRule="auto"/>
        <w:jc w:val="center"/>
        <w:rPr>
          <w:rFonts w:ascii="宋体" w:hAnsi="宋体"/>
          <w:b/>
          <w:sz w:val="52"/>
          <w:szCs w:val="52"/>
        </w:rPr>
      </w:pPr>
    </w:p>
    <w:p>
      <w:pPr>
        <w:adjustRightInd w:val="0"/>
        <w:snapToGrid w:val="0"/>
        <w:spacing w:line="360" w:lineRule="auto"/>
        <w:jc w:val="center"/>
        <w:rPr>
          <w:rFonts w:ascii="宋体" w:hAnsi="宋体"/>
          <w:b/>
          <w:sz w:val="52"/>
          <w:szCs w:val="52"/>
        </w:rPr>
      </w:pPr>
    </w:p>
    <w:p>
      <w:pPr>
        <w:adjustRightInd w:val="0"/>
        <w:snapToGrid w:val="0"/>
        <w:spacing w:line="360" w:lineRule="auto"/>
        <w:jc w:val="center"/>
        <w:rPr>
          <w:rFonts w:ascii="宋体" w:hAnsi="宋体"/>
          <w:b/>
          <w:sz w:val="52"/>
          <w:szCs w:val="52"/>
        </w:rPr>
      </w:pPr>
    </w:p>
    <w:p>
      <w:pPr>
        <w:adjustRightInd w:val="0"/>
        <w:snapToGrid w:val="0"/>
        <w:spacing w:line="360" w:lineRule="auto"/>
        <w:jc w:val="center"/>
        <w:rPr>
          <w:rFonts w:hint="eastAsia" w:ascii="宋体" w:hAnsi="宋体"/>
          <w:b/>
          <w:sz w:val="52"/>
          <w:szCs w:val="52"/>
        </w:rPr>
      </w:pPr>
      <w:r>
        <w:rPr>
          <w:rFonts w:ascii="宋体" w:hAnsi="宋体"/>
          <w:b/>
          <w:sz w:val="52"/>
          <w:szCs w:val="52"/>
        </w:rPr>
        <w:t>2018</w:t>
      </w:r>
      <w:r>
        <w:rPr>
          <w:rFonts w:hint="eastAsia" w:ascii="宋体" w:hAnsi="宋体"/>
          <w:b/>
          <w:sz w:val="52"/>
          <w:szCs w:val="52"/>
        </w:rPr>
        <w:t>年度新乡市农机部门预算基本情况说明</w:t>
      </w:r>
    </w:p>
    <w:p>
      <w:pPr>
        <w:jc w:val="center"/>
        <w:rPr>
          <w:rFonts w:ascii="黑体" w:hAnsi="黑体" w:eastAsia="黑体" w:cs="黑体"/>
          <w:sz w:val="36"/>
          <w:szCs w:val="36"/>
        </w:rPr>
      </w:pPr>
      <w:r>
        <w:rPr>
          <w:rFonts w:hint="eastAsia" w:ascii="宋体" w:hAnsi="宋体"/>
          <w:b/>
          <w:sz w:val="52"/>
          <w:szCs w:val="52"/>
        </w:rPr>
        <w:br w:type="page"/>
      </w: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w:t>
      </w:r>
      <w:r>
        <w:rPr>
          <w:rFonts w:hint="eastAsia" w:ascii="黑体" w:hAnsi="Times New Roman" w:eastAsia="黑体" w:cs="黑体"/>
          <w:sz w:val="32"/>
          <w:szCs w:val="32"/>
        </w:rPr>
        <w:t>新乡市</w:t>
      </w:r>
      <w:r>
        <w:rPr>
          <w:rFonts w:hint="eastAsia" w:ascii="黑体" w:hAnsi="黑体" w:eastAsia="黑体"/>
          <w:sz w:val="32"/>
          <w:szCs w:val="32"/>
        </w:rPr>
        <w:t>农机部门</w:t>
      </w:r>
      <w:r>
        <w:rPr>
          <w:rFonts w:hint="eastAsia" w:ascii="黑体" w:hAnsi="Times New Roman" w:eastAsia="黑体" w:cs="黑体"/>
          <w:sz w:val="32"/>
          <w:szCs w:val="32"/>
        </w:rPr>
        <w:t>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主要职能</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部门预算单位构成</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部门人员编制总体情况</w:t>
      </w:r>
    </w:p>
    <w:p>
      <w:pPr>
        <w:jc w:val="left"/>
        <w:rPr>
          <w:rFonts w:hint="eastAsia" w:ascii="黑体" w:hAnsi="Times New Roman" w:eastAsia="黑体" w:cs="黑体"/>
          <w:sz w:val="32"/>
          <w:szCs w:val="32"/>
        </w:rPr>
      </w:pPr>
      <w:r>
        <w:rPr>
          <w:rFonts w:hint="eastAsia" w:ascii="黑体" w:hAnsi="Times New Roman" w:eastAsia="黑体" w:cs="黑体"/>
          <w:sz w:val="32"/>
          <w:szCs w:val="32"/>
        </w:rPr>
        <w:t>第二部分</w:t>
      </w:r>
      <w:r>
        <w:rPr>
          <w:rFonts w:ascii="黑体" w:hAnsi="Times New Roman" w:eastAsia="黑体" w:cs="黑体"/>
          <w:sz w:val="32"/>
          <w:szCs w:val="32"/>
        </w:rPr>
        <w:t xml:space="preserve">  </w:t>
      </w:r>
      <w:r>
        <w:rPr>
          <w:rFonts w:hint="eastAsia" w:ascii="黑体" w:hAnsi="Times New Roman" w:eastAsia="黑体" w:cs="黑体"/>
          <w:sz w:val="32"/>
          <w:szCs w:val="32"/>
        </w:rPr>
        <w:t>新乡市农机部门</w:t>
      </w:r>
      <w:r>
        <w:rPr>
          <w:rFonts w:ascii="黑体" w:hAnsi="Times New Roman" w:eastAsia="黑体" w:cs="黑体"/>
          <w:sz w:val="32"/>
          <w:szCs w:val="32"/>
        </w:rPr>
        <w:t xml:space="preserve">2018 </w:t>
      </w:r>
      <w:r>
        <w:rPr>
          <w:rFonts w:hint="eastAsia" w:ascii="黑体" w:hAnsi="Times New Roman" w:eastAsia="黑体" w:cs="黑体"/>
          <w:sz w:val="32"/>
          <w:szCs w:val="32"/>
        </w:rPr>
        <w:t>年度部门预算情况说明</w:t>
      </w:r>
    </w:p>
    <w:p>
      <w:pPr>
        <w:ind w:firstLine="640" w:firstLineChars="200"/>
        <w:jc w:val="left"/>
        <w:rPr>
          <w:rFonts w:hint="eastAsia" w:ascii="宋体" w:hAnsi="宋体" w:cs="宋体"/>
          <w:sz w:val="32"/>
          <w:szCs w:val="32"/>
        </w:rPr>
      </w:pPr>
      <w:r>
        <w:rPr>
          <w:rFonts w:hint="eastAsia" w:ascii="宋体" w:hAnsi="宋体" w:cs="宋体"/>
          <w:sz w:val="32"/>
          <w:szCs w:val="32"/>
        </w:rPr>
        <w:t>一、收入支出</w:t>
      </w:r>
      <w:r>
        <w:rPr>
          <w:rFonts w:hint="eastAsia" w:ascii="宋体" w:hAnsi="宋体" w:cs="宋体"/>
          <w:sz w:val="32"/>
          <w:szCs w:val="32"/>
          <w:lang w:eastAsia="zh-CN"/>
        </w:rPr>
        <w:t>预算</w:t>
      </w:r>
      <w:r>
        <w:rPr>
          <w:rFonts w:hint="eastAsia" w:ascii="宋体" w:hAnsi="宋体" w:cs="宋体"/>
          <w:sz w:val="32"/>
          <w:szCs w:val="32"/>
        </w:rPr>
        <w:t>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二、收入</w:t>
      </w:r>
      <w:r>
        <w:rPr>
          <w:rFonts w:hint="eastAsia" w:ascii="宋体" w:hAnsi="宋体" w:cs="宋体"/>
          <w:sz w:val="32"/>
          <w:szCs w:val="32"/>
          <w:lang w:eastAsia="zh-CN"/>
        </w:rPr>
        <w:t>预算总体</w:t>
      </w:r>
      <w:r>
        <w:rPr>
          <w:rFonts w:hint="eastAsia" w:ascii="宋体" w:hAnsi="宋体" w:cs="宋体"/>
          <w:sz w:val="32"/>
          <w:szCs w:val="32"/>
        </w:rPr>
        <w:t>情况说明</w:t>
      </w:r>
    </w:p>
    <w:p>
      <w:pPr>
        <w:ind w:firstLine="640" w:firstLineChars="200"/>
        <w:jc w:val="left"/>
        <w:rPr>
          <w:rFonts w:hint="eastAsia" w:ascii="宋体" w:hAnsi="宋体" w:cs="宋体"/>
          <w:sz w:val="32"/>
          <w:szCs w:val="32"/>
        </w:rPr>
      </w:pPr>
      <w:r>
        <w:rPr>
          <w:rFonts w:hint="eastAsia" w:ascii="宋体" w:hAnsi="宋体" w:cs="宋体"/>
          <w:sz w:val="32"/>
          <w:szCs w:val="32"/>
        </w:rPr>
        <w:t>三、支出</w:t>
      </w:r>
      <w:r>
        <w:rPr>
          <w:rFonts w:hint="eastAsia" w:ascii="宋体" w:hAnsi="宋体" w:cs="宋体"/>
          <w:sz w:val="32"/>
          <w:szCs w:val="32"/>
          <w:lang w:eastAsia="zh-CN"/>
        </w:rPr>
        <w:t>预算总体</w:t>
      </w:r>
      <w:r>
        <w:rPr>
          <w:rFonts w:hint="eastAsia" w:ascii="宋体" w:hAnsi="宋体" w:cs="宋体"/>
          <w:sz w:val="32"/>
          <w:szCs w:val="32"/>
        </w:rPr>
        <w:t>情况说明</w:t>
      </w:r>
    </w:p>
    <w:p>
      <w:pPr>
        <w:ind w:firstLine="640" w:firstLineChars="200"/>
        <w:jc w:val="left"/>
        <w:rPr>
          <w:rFonts w:hint="eastAsia" w:ascii="宋体" w:hAnsi="宋体" w:cs="宋体"/>
          <w:sz w:val="32"/>
          <w:szCs w:val="32"/>
        </w:rPr>
      </w:pPr>
      <w:r>
        <w:rPr>
          <w:rFonts w:hint="eastAsia" w:ascii="宋体" w:hAnsi="宋体" w:cs="宋体"/>
          <w:sz w:val="32"/>
          <w:szCs w:val="32"/>
        </w:rPr>
        <w:t>四、财政拨款收入支出</w:t>
      </w:r>
      <w:r>
        <w:rPr>
          <w:rFonts w:hint="eastAsia" w:ascii="宋体" w:hAnsi="宋体" w:cs="宋体"/>
          <w:sz w:val="32"/>
          <w:szCs w:val="32"/>
          <w:lang w:eastAsia="zh-CN"/>
        </w:rPr>
        <w:t>预算</w:t>
      </w:r>
      <w:r>
        <w:rPr>
          <w:rFonts w:hint="eastAsia" w:ascii="宋体" w:hAnsi="宋体" w:cs="宋体"/>
          <w:sz w:val="32"/>
          <w:szCs w:val="32"/>
        </w:rPr>
        <w:t>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五、一般公共预算支出</w:t>
      </w:r>
      <w:r>
        <w:rPr>
          <w:rFonts w:hint="eastAsia" w:ascii="宋体" w:hAnsi="宋体" w:cs="宋体"/>
          <w:sz w:val="32"/>
          <w:szCs w:val="32"/>
          <w:lang w:eastAsia="zh-CN"/>
        </w:rPr>
        <w:t>预算</w:t>
      </w:r>
      <w:r>
        <w:rPr>
          <w:rFonts w:hint="eastAsia" w:ascii="宋体" w:hAnsi="宋体" w:cs="宋体"/>
          <w:sz w:val="32"/>
          <w:szCs w:val="32"/>
        </w:rPr>
        <w:t>情况说明</w:t>
      </w:r>
    </w:p>
    <w:p>
      <w:pPr>
        <w:ind w:firstLine="640" w:firstLineChars="200"/>
        <w:jc w:val="left"/>
        <w:rPr>
          <w:rFonts w:hint="eastAsia" w:ascii="宋体" w:hAnsi="宋体" w:cs="宋体"/>
          <w:sz w:val="32"/>
          <w:szCs w:val="32"/>
        </w:rPr>
      </w:pPr>
      <w:r>
        <w:rPr>
          <w:rFonts w:hint="eastAsia" w:ascii="宋体" w:hAnsi="宋体" w:cs="宋体"/>
          <w:sz w:val="32"/>
          <w:szCs w:val="32"/>
        </w:rPr>
        <w:t>六、一般公共预算基本支出</w:t>
      </w:r>
      <w:r>
        <w:rPr>
          <w:rFonts w:hint="eastAsia" w:ascii="宋体" w:hAnsi="宋体" w:cs="宋体"/>
          <w:sz w:val="32"/>
          <w:szCs w:val="32"/>
          <w:lang w:eastAsia="zh-CN"/>
        </w:rPr>
        <w:t>预算</w:t>
      </w:r>
      <w:r>
        <w:rPr>
          <w:rFonts w:hint="eastAsia" w:ascii="宋体" w:hAnsi="宋体" w:cs="宋体"/>
          <w:sz w:val="32"/>
          <w:szCs w:val="32"/>
        </w:rPr>
        <w:t>情况说明</w:t>
      </w:r>
    </w:p>
    <w:p>
      <w:pPr>
        <w:ind w:firstLine="640" w:firstLineChars="200"/>
        <w:jc w:val="left"/>
        <w:rPr>
          <w:rFonts w:hint="eastAsia" w:ascii="宋体" w:hAnsi="宋体" w:eastAsia="宋体" w:cs="宋体"/>
          <w:sz w:val="32"/>
          <w:szCs w:val="32"/>
          <w:lang w:eastAsia="zh-CN"/>
        </w:rPr>
      </w:pPr>
      <w:r>
        <w:rPr>
          <w:rFonts w:hint="eastAsia" w:ascii="宋体" w:hAnsi="宋体" w:cs="宋体"/>
          <w:sz w:val="32"/>
          <w:szCs w:val="32"/>
          <w:lang w:eastAsia="zh-CN"/>
        </w:rPr>
        <w:t>七、一般公共预算项目支出情况说明</w:t>
      </w:r>
    </w:p>
    <w:p>
      <w:pPr>
        <w:ind w:firstLine="640" w:firstLineChars="200"/>
        <w:jc w:val="left"/>
        <w:rPr>
          <w:rFonts w:hint="eastAsia" w:ascii="宋体" w:hAnsi="宋体" w:cs="宋体"/>
          <w:sz w:val="32"/>
          <w:szCs w:val="32"/>
        </w:rPr>
      </w:pPr>
      <w:r>
        <w:rPr>
          <w:rFonts w:hint="eastAsia" w:ascii="宋体" w:hAnsi="宋体" w:cs="宋体"/>
          <w:sz w:val="32"/>
          <w:szCs w:val="32"/>
          <w:lang w:eastAsia="zh-CN"/>
        </w:rPr>
        <w:t>八</w:t>
      </w:r>
      <w:r>
        <w:rPr>
          <w:rFonts w:hint="eastAsia" w:ascii="宋体" w:hAnsi="宋体" w:cs="宋体"/>
          <w:sz w:val="32"/>
          <w:szCs w:val="32"/>
        </w:rPr>
        <w:t>、“三公”经费支出</w:t>
      </w:r>
      <w:r>
        <w:rPr>
          <w:rFonts w:hint="eastAsia" w:ascii="宋体" w:hAnsi="宋体" w:cs="宋体"/>
          <w:sz w:val="32"/>
          <w:szCs w:val="32"/>
          <w:lang w:eastAsia="zh-CN"/>
        </w:rPr>
        <w:t>预算</w:t>
      </w:r>
      <w:r>
        <w:rPr>
          <w:rFonts w:hint="eastAsia" w:ascii="宋体" w:hAnsi="宋体" w:cs="宋体"/>
          <w:sz w:val="32"/>
          <w:szCs w:val="32"/>
        </w:rPr>
        <w:t>情况说明</w:t>
      </w:r>
    </w:p>
    <w:p>
      <w:pPr>
        <w:ind w:firstLine="640" w:firstLineChars="200"/>
        <w:jc w:val="left"/>
        <w:rPr>
          <w:rFonts w:hint="eastAsia" w:ascii="宋体" w:hAnsi="宋体" w:cs="宋体"/>
          <w:sz w:val="32"/>
          <w:szCs w:val="32"/>
        </w:rPr>
      </w:pPr>
      <w:r>
        <w:rPr>
          <w:rFonts w:hint="eastAsia" w:ascii="宋体" w:hAnsi="宋体" w:cs="宋体"/>
          <w:sz w:val="32"/>
          <w:szCs w:val="32"/>
        </w:rPr>
        <w:t>九、政府性基金预算支出情况说明</w:t>
      </w:r>
    </w:p>
    <w:p>
      <w:pPr>
        <w:ind w:firstLine="640" w:firstLineChars="200"/>
        <w:jc w:val="left"/>
        <w:rPr>
          <w:rFonts w:hint="eastAsia" w:ascii="宋体" w:hAnsi="宋体" w:cs="宋体"/>
          <w:sz w:val="32"/>
          <w:szCs w:val="32"/>
        </w:rPr>
      </w:pPr>
      <w:r>
        <w:rPr>
          <w:rFonts w:hint="eastAsia" w:ascii="宋体" w:hAnsi="宋体" w:cs="宋体"/>
          <w:sz w:val="32"/>
          <w:szCs w:val="32"/>
          <w:lang w:eastAsia="zh-CN"/>
        </w:rPr>
        <w:t>十、</w:t>
      </w:r>
      <w:r>
        <w:rPr>
          <w:rFonts w:hint="eastAsia" w:ascii="宋体" w:hAnsi="宋体" w:cs="宋体"/>
          <w:sz w:val="32"/>
          <w:szCs w:val="32"/>
        </w:rPr>
        <w:t>机关运行经费支出情况说明</w:t>
      </w:r>
    </w:p>
    <w:p>
      <w:pPr>
        <w:ind w:firstLine="640" w:firstLineChars="200"/>
        <w:jc w:val="left"/>
        <w:rPr>
          <w:rFonts w:hint="eastAsia" w:ascii="宋体" w:hAnsi="宋体" w:cs="宋体"/>
          <w:sz w:val="32"/>
          <w:szCs w:val="32"/>
        </w:rPr>
      </w:pPr>
      <w:r>
        <w:rPr>
          <w:rFonts w:hint="eastAsia" w:ascii="宋体" w:hAnsi="宋体" w:cs="宋体"/>
          <w:sz w:val="32"/>
          <w:szCs w:val="32"/>
        </w:rPr>
        <w:t>十</w:t>
      </w:r>
      <w:r>
        <w:rPr>
          <w:rFonts w:hint="eastAsia" w:ascii="宋体" w:hAnsi="宋体" w:cs="宋体"/>
          <w:sz w:val="32"/>
          <w:szCs w:val="32"/>
          <w:lang w:eastAsia="zh-CN"/>
        </w:rPr>
        <w:t>一</w:t>
      </w:r>
      <w:r>
        <w:rPr>
          <w:rFonts w:hint="eastAsia" w:ascii="宋体" w:hAnsi="宋体" w:cs="宋体"/>
          <w:sz w:val="32"/>
          <w:szCs w:val="32"/>
        </w:rPr>
        <w:t>、</w:t>
      </w:r>
      <w:r>
        <w:rPr>
          <w:rFonts w:hint="eastAsia" w:ascii="宋体" w:hAnsi="宋体" w:cs="宋体"/>
          <w:sz w:val="32"/>
          <w:szCs w:val="32"/>
          <w:lang w:eastAsia="zh-CN"/>
        </w:rPr>
        <w:t>预算绩效管理工作开展情况说明</w:t>
      </w:r>
    </w:p>
    <w:p>
      <w:pPr>
        <w:ind w:firstLine="640" w:firstLineChars="200"/>
        <w:jc w:val="left"/>
        <w:rPr>
          <w:rFonts w:hint="eastAsia" w:ascii="宋体" w:hAnsi="宋体" w:cs="宋体"/>
          <w:sz w:val="32"/>
          <w:szCs w:val="32"/>
        </w:rPr>
      </w:pPr>
      <w:r>
        <w:rPr>
          <w:rFonts w:hint="eastAsia" w:ascii="宋体" w:hAnsi="宋体" w:cs="宋体"/>
          <w:sz w:val="32"/>
          <w:szCs w:val="32"/>
        </w:rPr>
        <w:t>十</w:t>
      </w:r>
      <w:r>
        <w:rPr>
          <w:rFonts w:hint="eastAsia" w:ascii="宋体" w:hAnsi="宋体" w:cs="宋体"/>
          <w:sz w:val="32"/>
          <w:szCs w:val="32"/>
          <w:lang w:eastAsia="zh-CN"/>
        </w:rPr>
        <w:t>二</w:t>
      </w:r>
      <w:r>
        <w:rPr>
          <w:rFonts w:hint="eastAsia" w:ascii="宋体" w:hAnsi="宋体" w:cs="宋体"/>
          <w:sz w:val="32"/>
          <w:szCs w:val="32"/>
        </w:rPr>
        <w:t>、政府采购支出情况说明</w:t>
      </w:r>
    </w:p>
    <w:p>
      <w:pPr>
        <w:ind w:firstLine="640" w:firstLineChars="200"/>
        <w:jc w:val="left"/>
        <w:rPr>
          <w:rFonts w:hint="eastAsia" w:ascii="宋体" w:hAnsi="宋体" w:cs="宋体"/>
          <w:sz w:val="32"/>
          <w:szCs w:val="32"/>
        </w:rPr>
      </w:pPr>
      <w:r>
        <w:rPr>
          <w:rFonts w:hint="eastAsia" w:ascii="宋体" w:hAnsi="宋体" w:cs="宋体"/>
          <w:sz w:val="32"/>
          <w:szCs w:val="32"/>
        </w:rPr>
        <w:t>十</w:t>
      </w:r>
      <w:r>
        <w:rPr>
          <w:rFonts w:hint="eastAsia" w:ascii="宋体" w:hAnsi="宋体" w:cs="宋体"/>
          <w:sz w:val="32"/>
          <w:szCs w:val="32"/>
          <w:lang w:eastAsia="zh-CN"/>
        </w:rPr>
        <w:t>三</w:t>
      </w:r>
      <w:r>
        <w:rPr>
          <w:rFonts w:hint="eastAsia" w:ascii="宋体" w:hAnsi="宋体" w:cs="宋体"/>
          <w:sz w:val="32"/>
          <w:szCs w:val="32"/>
        </w:rPr>
        <w:t>、国有资产占用情况说明</w:t>
      </w:r>
    </w:p>
    <w:p>
      <w:pPr>
        <w:ind w:firstLine="640" w:firstLineChars="200"/>
        <w:jc w:val="left"/>
        <w:rPr>
          <w:rFonts w:hint="eastAsia" w:ascii="宋体" w:hAnsi="宋体" w:cs="宋体"/>
          <w:sz w:val="32"/>
          <w:szCs w:val="32"/>
        </w:rPr>
      </w:pPr>
      <w:r>
        <w:rPr>
          <w:rFonts w:hint="eastAsia" w:ascii="宋体" w:hAnsi="宋体" w:cs="宋体"/>
          <w:sz w:val="32"/>
          <w:szCs w:val="32"/>
          <w:lang w:eastAsia="zh-CN"/>
        </w:rPr>
        <w:t>十四、其他重要事项的情况说明</w:t>
      </w:r>
    </w:p>
    <w:p>
      <w:pPr>
        <w:jc w:val="left"/>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w:t>
      </w:r>
      <w:r>
        <w:rPr>
          <w:rFonts w:hint="eastAsia" w:ascii="黑体" w:hAnsi="黑体" w:eastAsia="黑体" w:cs="黑体"/>
          <w:sz w:val="32"/>
          <w:szCs w:val="32"/>
        </w:rPr>
        <w:t>部分　名词解释</w:t>
      </w:r>
    </w:p>
    <w:p>
      <w:pPr>
        <w:kinsoku w:val="0"/>
        <w:overflowPunct w:val="0"/>
        <w:adjustRightInd w:val="0"/>
        <w:snapToGrid w:val="0"/>
        <w:spacing w:line="360" w:lineRule="auto"/>
        <w:ind w:right="-58"/>
        <w:rPr>
          <w:rFonts w:ascii="黑体" w:hAnsi="Times New Roman" w:eastAsia="黑体" w:cs="黑体"/>
          <w:sz w:val="32"/>
          <w:szCs w:val="32"/>
        </w:rPr>
      </w:pPr>
      <w:r>
        <w:rPr>
          <w:rFonts w:hint="eastAsia" w:ascii="黑体" w:hAnsi="Times New Roman" w:eastAsia="黑体" w:cs="黑体"/>
          <w:sz w:val="32"/>
          <w:szCs w:val="32"/>
        </w:rPr>
        <w:t>附件：新乡市农机部门</w:t>
      </w:r>
      <w:r>
        <w:rPr>
          <w:rFonts w:ascii="黑体" w:hAnsi="Times New Roman" w:eastAsia="黑体" w:cs="黑体"/>
          <w:sz w:val="32"/>
          <w:szCs w:val="32"/>
        </w:rPr>
        <w:t>2018</w:t>
      </w:r>
      <w:r>
        <w:rPr>
          <w:rFonts w:hint="eastAsia" w:ascii="黑体" w:hAnsi="Times New Roman" w:eastAsia="黑体" w:cs="黑体"/>
          <w:sz w:val="32"/>
          <w:szCs w:val="32"/>
        </w:rPr>
        <w:t>年度部门预算表</w:t>
      </w:r>
    </w:p>
    <w:p>
      <w:pPr>
        <w:jc w:val="left"/>
        <w:rPr>
          <w:rFonts w:hint="eastAsia" w:ascii="黑体" w:hAnsi="黑体" w:eastAsia="黑体" w:cs="黑体"/>
          <w:sz w:val="32"/>
          <w:szCs w:val="32"/>
        </w:rPr>
        <w:sectPr>
          <w:footerReference r:id="rId3" w:type="default"/>
          <w:pgSz w:w="11906" w:h="16838"/>
          <w:pgMar w:top="1440" w:right="1531" w:bottom="1440" w:left="1587" w:header="850" w:footer="992" w:gutter="0"/>
          <w:pgNumType w:fmt="numberInDash"/>
          <w:cols w:space="720" w:num="1"/>
          <w:docGrid w:type="lines" w:linePitch="317" w:charSpace="0"/>
        </w:sectPr>
      </w:pPr>
    </w:p>
    <w:p>
      <w:pPr>
        <w:adjustRightInd w:val="0"/>
        <w:snapToGrid w:val="0"/>
        <w:spacing w:line="360" w:lineRule="auto"/>
        <w:jc w:val="left"/>
        <w:rPr>
          <w:rFonts w:ascii="黑体" w:hAnsi="Times New Roman" w:eastAsia="黑体" w:cs="黑体"/>
          <w:w w:val="99"/>
          <w:sz w:val="32"/>
          <w:szCs w:val="32"/>
        </w:rPr>
      </w:pPr>
      <w:r>
        <w:rPr>
          <w:rFonts w:hint="eastAsia" w:ascii="黑体" w:hAnsi="Times New Roman" w:eastAsia="黑体" w:cs="黑体"/>
          <w:sz w:val="32"/>
          <w:szCs w:val="32"/>
        </w:rPr>
        <w:t>第一部分</w:t>
      </w:r>
      <w:r>
        <w:rPr>
          <w:rFonts w:ascii="黑体" w:hAnsi="Times New Roman" w:eastAsia="黑体" w:cs="黑体"/>
          <w:sz w:val="32"/>
          <w:szCs w:val="32"/>
        </w:rPr>
        <w:t xml:space="preserve"> </w:t>
      </w:r>
      <w:r>
        <w:rPr>
          <w:rFonts w:hint="eastAsia" w:ascii="黑体" w:hAnsi="Times New Roman" w:eastAsia="黑体" w:cs="黑体"/>
          <w:sz w:val="32"/>
          <w:szCs w:val="32"/>
        </w:rPr>
        <w:t>新乡市</w:t>
      </w:r>
      <w:r>
        <w:rPr>
          <w:rFonts w:hint="eastAsia" w:ascii="黑体" w:hAnsi="黑体" w:eastAsia="黑体"/>
          <w:sz w:val="32"/>
          <w:szCs w:val="32"/>
        </w:rPr>
        <w:t>农机部门</w:t>
      </w:r>
      <w:r>
        <w:rPr>
          <w:rFonts w:hint="eastAsia" w:ascii="黑体" w:hAnsi="Times New Roman" w:eastAsia="黑体" w:cs="黑体"/>
          <w:sz w:val="32"/>
          <w:szCs w:val="32"/>
        </w:rPr>
        <w:t>概况</w:t>
      </w:r>
      <w:r>
        <w:rPr>
          <w:rFonts w:ascii="黑体" w:hAnsi="Times New Roman" w:eastAsia="黑体" w:cs="黑体"/>
          <w:w w:val="99"/>
          <w:sz w:val="32"/>
          <w:szCs w:val="32"/>
        </w:rPr>
        <w:t xml:space="preserve"> </w:t>
      </w:r>
    </w:p>
    <w:p>
      <w:pPr>
        <w:pStyle w:val="6"/>
        <w:numPr>
          <w:numId w:val="0"/>
        </w:numPr>
        <w:kinsoku w:val="0"/>
        <w:overflowPunct w:val="0"/>
        <w:adjustRightInd w:val="0"/>
        <w:snapToGrid w:val="0"/>
        <w:spacing w:line="360" w:lineRule="auto"/>
        <w:ind w:leftChars="0" w:right="84" w:rightChars="0"/>
        <w:jc w:val="left"/>
        <w:rPr>
          <w:rFonts w:ascii="华文楷体" w:hAnsi="华文楷体" w:eastAsia="华文楷体" w:cs="仿宋_GB2312"/>
          <w:sz w:val="32"/>
          <w:szCs w:val="32"/>
        </w:rPr>
      </w:pPr>
      <w:r>
        <w:rPr>
          <w:rFonts w:hint="eastAsia" w:ascii="仿宋_GB2312" w:hAnsi="Times New Roman" w:eastAsia="仿宋_GB2312" w:cs="仿宋_GB2312"/>
          <w:sz w:val="32"/>
          <w:szCs w:val="32"/>
          <w:lang w:eastAsia="zh-CN"/>
        </w:rPr>
        <w:t>一、</w:t>
      </w:r>
      <w:r>
        <w:rPr>
          <w:rFonts w:hint="eastAsia" w:ascii="仿宋_GB2312" w:hAnsi="Times New Roman" w:eastAsia="仿宋_GB2312" w:cs="仿宋_GB2312"/>
          <w:sz w:val="32"/>
          <w:szCs w:val="32"/>
        </w:rPr>
        <w:t>主要职能</w:t>
      </w:r>
    </w:p>
    <w:p>
      <w:pPr>
        <w:numPr>
          <w:ilvl w:val="0"/>
          <w:numId w:val="2"/>
        </w:numPr>
        <w:kinsoku w:val="0"/>
        <w:overflowPunct w:val="0"/>
        <w:adjustRightInd w:val="0"/>
        <w:snapToGrid w:val="0"/>
        <w:spacing w:line="360" w:lineRule="auto"/>
        <w:ind w:right="-58" w:firstLine="600" w:firstLineChars="200"/>
        <w:jc w:val="left"/>
        <w:rPr>
          <w:rFonts w:ascii="华文楷体" w:hAnsi="华文楷体" w:eastAsia="华文楷体" w:cs="仿宋_GB2312"/>
          <w:sz w:val="32"/>
          <w:szCs w:val="32"/>
        </w:rPr>
      </w:pPr>
      <w:r>
        <w:rPr>
          <w:rFonts w:hint="eastAsia" w:ascii="黑体" w:hAnsi="黑体" w:eastAsia="黑体"/>
          <w:sz w:val="30"/>
          <w:szCs w:val="30"/>
        </w:rPr>
        <w:t>贯彻执行国家和省有关农业机械化的方针政策和法律法规；研究制定全市农机管理工作的政策规定，经批准后监督执行；（</w:t>
      </w:r>
      <w:r>
        <w:rPr>
          <w:rFonts w:ascii="黑体" w:hAnsi="黑体" w:eastAsia="黑体"/>
          <w:sz w:val="30"/>
          <w:szCs w:val="30"/>
        </w:rPr>
        <w:t>2</w:t>
      </w:r>
      <w:r>
        <w:rPr>
          <w:rFonts w:hint="eastAsia" w:ascii="黑体" w:hAnsi="黑体" w:eastAsia="黑体"/>
          <w:sz w:val="30"/>
          <w:szCs w:val="30"/>
        </w:rPr>
        <w:t>）研究执行全市农业机械化发展战略和中长期规划，并认真组织实施。（</w:t>
      </w:r>
      <w:r>
        <w:rPr>
          <w:rFonts w:ascii="黑体" w:hAnsi="黑体" w:eastAsia="黑体"/>
          <w:sz w:val="30"/>
          <w:szCs w:val="30"/>
        </w:rPr>
        <w:t>3</w:t>
      </w:r>
      <w:r>
        <w:rPr>
          <w:rFonts w:hint="eastAsia" w:ascii="黑体" w:hAnsi="黑体" w:eastAsia="黑体"/>
          <w:sz w:val="30"/>
          <w:szCs w:val="30"/>
        </w:rPr>
        <w:t>）指导全市农业机械化服务体系建设和社会化服务活动；指导、协调全市农业机械化生产和经营活动。（</w:t>
      </w:r>
      <w:r>
        <w:rPr>
          <w:rFonts w:ascii="黑体" w:hAnsi="黑体" w:eastAsia="黑体"/>
          <w:sz w:val="30"/>
          <w:szCs w:val="30"/>
        </w:rPr>
        <w:t>4</w:t>
      </w:r>
      <w:r>
        <w:rPr>
          <w:rFonts w:hint="eastAsia" w:ascii="黑体" w:hAnsi="黑体" w:eastAsia="黑体"/>
          <w:sz w:val="30"/>
          <w:szCs w:val="30"/>
        </w:rPr>
        <w:t>）负责拖拉机、联合收割机、农用运输车及涉农机械的使用管理、登记入户、核发牌证、农机技术状态检验工作；负责农机操作人员技术培训、考核发证、年度审验工作；负责乡村道路、田间场院农机事故的调查处理，拟定农机安全监理办法和措施，并监督实施。（</w:t>
      </w:r>
      <w:r>
        <w:rPr>
          <w:rFonts w:ascii="黑体" w:hAnsi="黑体" w:eastAsia="黑体"/>
          <w:sz w:val="30"/>
          <w:szCs w:val="30"/>
        </w:rPr>
        <w:t>5</w:t>
      </w:r>
      <w:r>
        <w:rPr>
          <w:rFonts w:hint="eastAsia" w:ascii="黑体" w:hAnsi="黑体" w:eastAsia="黑体"/>
          <w:sz w:val="30"/>
          <w:szCs w:val="30"/>
        </w:rPr>
        <w:t>）负责对农机产品的检测鉴定工作；组织农业机械化科研、试验、引进、推广；组织农机的试点，试验、示范和农业机械化重大项目的论证、立项和实施。（</w:t>
      </w:r>
      <w:r>
        <w:rPr>
          <w:rFonts w:ascii="黑体" w:hAnsi="黑体" w:eastAsia="黑体"/>
          <w:sz w:val="30"/>
          <w:szCs w:val="30"/>
        </w:rPr>
        <w:t>6</w:t>
      </w:r>
      <w:r>
        <w:rPr>
          <w:rFonts w:hint="eastAsia" w:ascii="黑体" w:hAnsi="黑体" w:eastAsia="黑体"/>
          <w:sz w:val="30"/>
          <w:szCs w:val="30"/>
        </w:rPr>
        <w:t>）负责农机教育和农民农机职业技术教育工作；负责农机系统科技成果的评定和管理；负责农机专业技术人员和农民农机技术人员职称的评定工作；负责农机管理系统企业宏观管理；负责农机修理网点的建设和修理工的考核发证工作。（</w:t>
      </w:r>
      <w:r>
        <w:rPr>
          <w:rFonts w:ascii="黑体" w:hAnsi="黑体" w:eastAsia="黑体"/>
          <w:sz w:val="30"/>
          <w:szCs w:val="30"/>
        </w:rPr>
        <w:t>7</w:t>
      </w:r>
      <w:r>
        <w:rPr>
          <w:rFonts w:hint="eastAsia" w:ascii="黑体" w:hAnsi="黑体" w:eastAsia="黑体"/>
          <w:sz w:val="30"/>
          <w:szCs w:val="30"/>
        </w:rPr>
        <w:t>）管理农业机械化有关经费、优惠政策的协调落实和市场监督；负责农业机械化统计分析；指导农机管理系统信息网络建设和农机协会工作；负责农机行业对外经济技术合作和交流，承办有关农机涉外事务。（</w:t>
      </w:r>
      <w:r>
        <w:rPr>
          <w:rFonts w:ascii="黑体" w:hAnsi="黑体" w:eastAsia="黑体"/>
          <w:sz w:val="30"/>
          <w:szCs w:val="30"/>
        </w:rPr>
        <w:t>8</w:t>
      </w:r>
      <w:r>
        <w:rPr>
          <w:rFonts w:hint="eastAsia" w:ascii="黑体" w:hAnsi="黑体" w:eastAsia="黑体"/>
          <w:sz w:val="30"/>
          <w:szCs w:val="30"/>
        </w:rPr>
        <w:t>）组织农业机械参与农业综合工程开发。（</w:t>
      </w:r>
      <w:r>
        <w:rPr>
          <w:rFonts w:ascii="黑体" w:hAnsi="黑体" w:eastAsia="黑体"/>
          <w:sz w:val="30"/>
          <w:szCs w:val="30"/>
        </w:rPr>
        <w:t>9</w:t>
      </w:r>
      <w:r>
        <w:rPr>
          <w:rFonts w:hint="eastAsia" w:ascii="黑体" w:hAnsi="黑体" w:eastAsia="黑体"/>
          <w:sz w:val="30"/>
          <w:szCs w:val="30"/>
        </w:rPr>
        <w:t>）承办市政府交办的其他事项。</w:t>
      </w:r>
    </w:p>
    <w:p>
      <w:pPr>
        <w:numPr>
          <w:numId w:val="0"/>
        </w:numPr>
        <w:kinsoku w:val="0"/>
        <w:overflowPunct w:val="0"/>
        <w:adjustRightInd w:val="0"/>
        <w:snapToGrid w:val="0"/>
        <w:spacing w:line="360" w:lineRule="auto"/>
        <w:ind w:right="-58" w:rightChars="0"/>
        <w:jc w:val="left"/>
        <w:rPr>
          <w:rFonts w:ascii="华文楷体" w:hAnsi="华文楷体" w:eastAsia="华文楷体" w:cs="仿宋_GB2312"/>
          <w:sz w:val="32"/>
          <w:szCs w:val="32"/>
        </w:rPr>
      </w:pPr>
      <w:r>
        <w:rPr>
          <w:rFonts w:hint="eastAsia" w:ascii="仿宋_GB2312" w:hAnsi="Times New Roman" w:eastAsia="仿宋_GB2312" w:cs="仿宋_GB2312"/>
          <w:sz w:val="32"/>
          <w:szCs w:val="32"/>
          <w:lang w:eastAsia="zh-CN"/>
        </w:rPr>
        <w:t>二、</w:t>
      </w:r>
      <w:r>
        <w:rPr>
          <w:rFonts w:hint="eastAsia" w:ascii="仿宋_GB2312" w:hAnsi="Times New Roman" w:eastAsia="仿宋_GB2312" w:cs="仿宋_GB2312"/>
          <w:sz w:val="32"/>
          <w:szCs w:val="32"/>
        </w:rPr>
        <w:t>部门预算单位构成</w:t>
      </w:r>
    </w:p>
    <w:p>
      <w:pPr>
        <w:kinsoku w:val="0"/>
        <w:overflowPunct w:val="0"/>
        <w:adjustRightInd w:val="0"/>
        <w:snapToGrid w:val="0"/>
        <w:spacing w:line="360" w:lineRule="auto"/>
        <w:ind w:right="84" w:firstLine="640" w:firstLineChars="200"/>
        <w:jc w:val="left"/>
        <w:rPr>
          <w:rFonts w:ascii="华文楷体" w:hAnsi="华文楷体" w:eastAsia="华文楷体" w:cs="仿宋_GB2312"/>
          <w:sz w:val="32"/>
          <w:szCs w:val="32"/>
        </w:rPr>
      </w:pPr>
      <w:r>
        <w:rPr>
          <w:rFonts w:hint="eastAsia" w:ascii="黑体" w:hAnsi="黑体" w:eastAsia="黑体"/>
          <w:sz w:val="32"/>
          <w:szCs w:val="32"/>
        </w:rPr>
        <w:t>新乡市农业机械管理局为市政府直属事业单位，机关内设</w:t>
      </w:r>
      <w:r>
        <w:rPr>
          <w:rFonts w:ascii="黑体" w:hAnsi="黑体" w:eastAsia="黑体"/>
          <w:sz w:val="32"/>
          <w:szCs w:val="32"/>
        </w:rPr>
        <w:t>4</w:t>
      </w:r>
      <w:r>
        <w:rPr>
          <w:rFonts w:hint="eastAsia" w:ascii="黑体" w:hAnsi="黑体" w:eastAsia="黑体"/>
          <w:sz w:val="32"/>
          <w:szCs w:val="32"/>
        </w:rPr>
        <w:t>个科室和市农机推广站、市农机安全监理所</w:t>
      </w:r>
      <w:r>
        <w:rPr>
          <w:rFonts w:ascii="黑体" w:hAnsi="黑体" w:eastAsia="黑体"/>
          <w:sz w:val="32"/>
          <w:szCs w:val="32"/>
        </w:rPr>
        <w:t>2</w:t>
      </w:r>
      <w:r>
        <w:rPr>
          <w:rFonts w:hint="eastAsia" w:ascii="黑体" w:hAnsi="黑体" w:eastAsia="黑体"/>
          <w:sz w:val="32"/>
          <w:szCs w:val="32"/>
        </w:rPr>
        <w:t>个二级单位。按照市政府授权，主管全市农业机械化工作，机构规格相当于正处级。</w:t>
      </w:r>
    </w:p>
    <w:p>
      <w:pPr>
        <w:pStyle w:val="6"/>
        <w:numPr>
          <w:numId w:val="0"/>
        </w:numPr>
        <w:kinsoku w:val="0"/>
        <w:overflowPunct w:val="0"/>
        <w:adjustRightInd w:val="0"/>
        <w:snapToGrid w:val="0"/>
        <w:spacing w:line="360" w:lineRule="auto"/>
        <w:ind w:leftChars="0" w:right="84" w:rightChars="0"/>
        <w:jc w:val="left"/>
        <w:rPr>
          <w:rFonts w:ascii="仿宋_GB2312" w:hAnsi="Times New Roman" w:eastAsia="仿宋_GB2312" w:cs="仿宋_GB2312"/>
          <w:sz w:val="32"/>
          <w:szCs w:val="32"/>
        </w:rPr>
      </w:pPr>
      <w:r>
        <w:rPr>
          <w:rFonts w:hint="eastAsia" w:ascii="仿宋_GB2312" w:hAnsi="Times New Roman" w:eastAsia="仿宋_GB2312" w:cs="仿宋_GB2312"/>
          <w:sz w:val="32"/>
          <w:szCs w:val="32"/>
          <w:lang w:eastAsia="zh-CN"/>
        </w:rPr>
        <w:t>三、</w:t>
      </w:r>
      <w:r>
        <w:rPr>
          <w:rFonts w:hint="eastAsia" w:ascii="仿宋_GB2312" w:hAnsi="Times New Roman" w:eastAsia="仿宋_GB2312" w:cs="仿宋_GB2312"/>
          <w:sz w:val="32"/>
          <w:szCs w:val="32"/>
        </w:rPr>
        <w:t>部门人员编制总体情况</w:t>
      </w:r>
    </w:p>
    <w:p>
      <w:pPr>
        <w:kinsoku w:val="0"/>
        <w:overflowPunct w:val="0"/>
        <w:adjustRightInd w:val="0"/>
        <w:snapToGrid w:val="0"/>
        <w:spacing w:line="360" w:lineRule="auto"/>
        <w:ind w:right="84" w:firstLine="640" w:firstLineChars="200"/>
        <w:jc w:val="left"/>
        <w:rPr>
          <w:rFonts w:ascii="黑体" w:hAnsi="黑体" w:eastAsia="黑体"/>
          <w:sz w:val="32"/>
          <w:szCs w:val="32"/>
        </w:rPr>
      </w:pPr>
      <w:r>
        <w:rPr>
          <w:rFonts w:hint="eastAsia" w:ascii="黑体" w:hAnsi="黑体" w:eastAsia="黑体"/>
          <w:sz w:val="32"/>
          <w:szCs w:val="32"/>
        </w:rPr>
        <w:t>事业编制</w:t>
      </w:r>
      <w:r>
        <w:rPr>
          <w:rFonts w:ascii="黑体" w:hAnsi="黑体" w:eastAsia="黑体"/>
          <w:sz w:val="32"/>
          <w:szCs w:val="32"/>
        </w:rPr>
        <w:t>66</w:t>
      </w:r>
      <w:r>
        <w:rPr>
          <w:rFonts w:hint="eastAsia" w:ascii="黑体" w:hAnsi="黑体" w:eastAsia="黑体"/>
          <w:sz w:val="32"/>
          <w:szCs w:val="32"/>
        </w:rPr>
        <w:t>人，实有在职人员</w:t>
      </w:r>
      <w:r>
        <w:rPr>
          <w:rFonts w:ascii="黑体" w:hAnsi="黑体" w:eastAsia="黑体"/>
          <w:sz w:val="32"/>
          <w:szCs w:val="32"/>
        </w:rPr>
        <w:t>47</w:t>
      </w:r>
      <w:r>
        <w:rPr>
          <w:rFonts w:hint="eastAsia" w:ascii="黑体" w:hAnsi="黑体" w:eastAsia="黑体"/>
          <w:sz w:val="32"/>
          <w:szCs w:val="32"/>
        </w:rPr>
        <w:t>人，离退休</w:t>
      </w:r>
      <w:r>
        <w:rPr>
          <w:rFonts w:ascii="黑体" w:hAnsi="黑体" w:eastAsia="黑体"/>
          <w:sz w:val="32"/>
          <w:szCs w:val="32"/>
        </w:rPr>
        <w:t>48</w:t>
      </w:r>
      <w:r>
        <w:rPr>
          <w:rFonts w:hint="eastAsia" w:ascii="黑体" w:hAnsi="黑体" w:eastAsia="黑体"/>
          <w:sz w:val="32"/>
          <w:szCs w:val="32"/>
        </w:rPr>
        <w:t>人，其中离休</w:t>
      </w:r>
      <w:r>
        <w:rPr>
          <w:rFonts w:ascii="黑体" w:hAnsi="黑体" w:eastAsia="黑体"/>
          <w:sz w:val="32"/>
          <w:szCs w:val="32"/>
        </w:rPr>
        <w:t>2</w:t>
      </w:r>
      <w:r>
        <w:rPr>
          <w:rFonts w:hint="eastAsia" w:ascii="黑体" w:hAnsi="黑体" w:eastAsia="黑体"/>
          <w:sz w:val="32"/>
          <w:szCs w:val="32"/>
        </w:rPr>
        <w:t>人。</w:t>
      </w:r>
    </w:p>
    <w:p>
      <w:pPr>
        <w:kinsoku w:val="0"/>
        <w:overflowPunct w:val="0"/>
        <w:adjustRightInd w:val="0"/>
        <w:snapToGrid w:val="0"/>
        <w:spacing w:line="360" w:lineRule="auto"/>
        <w:ind w:right="-58"/>
        <w:rPr>
          <w:rFonts w:ascii="黑体" w:hAnsi="Times New Roman" w:eastAsia="黑体" w:cs="黑体"/>
          <w:sz w:val="32"/>
          <w:szCs w:val="32"/>
        </w:rPr>
      </w:pPr>
      <w:r>
        <w:rPr>
          <w:rFonts w:hint="eastAsia" w:ascii="黑体" w:hAnsi="Times New Roman" w:eastAsia="黑体" w:cs="黑体"/>
          <w:sz w:val="32"/>
          <w:szCs w:val="32"/>
        </w:rPr>
        <w:br w:type="page"/>
      </w:r>
      <w:r>
        <w:rPr>
          <w:rFonts w:hint="eastAsia" w:ascii="黑体" w:hAnsi="Times New Roman" w:eastAsia="黑体" w:cs="黑体"/>
          <w:sz w:val="32"/>
          <w:szCs w:val="32"/>
        </w:rPr>
        <w:t>第二部分</w:t>
      </w:r>
      <w:r>
        <w:rPr>
          <w:rFonts w:ascii="黑体" w:hAnsi="Times New Roman" w:eastAsia="黑体" w:cs="黑体"/>
          <w:sz w:val="32"/>
          <w:szCs w:val="32"/>
        </w:rPr>
        <w:t xml:space="preserve">  </w:t>
      </w:r>
      <w:r>
        <w:rPr>
          <w:rFonts w:hint="eastAsia" w:ascii="黑体" w:hAnsi="Times New Roman" w:eastAsia="黑体" w:cs="黑体"/>
          <w:sz w:val="32"/>
          <w:szCs w:val="32"/>
        </w:rPr>
        <w:t>新乡市农机部门</w:t>
      </w:r>
      <w:r>
        <w:rPr>
          <w:rFonts w:ascii="黑体" w:hAnsi="Times New Roman" w:eastAsia="黑体" w:cs="黑体"/>
          <w:sz w:val="32"/>
          <w:szCs w:val="32"/>
        </w:rPr>
        <w:t>2018</w:t>
      </w:r>
      <w:r>
        <w:rPr>
          <w:rFonts w:hint="eastAsia" w:ascii="黑体" w:hAnsi="Times New Roman" w:eastAsia="黑体" w:cs="黑体"/>
          <w:sz w:val="32"/>
          <w:szCs w:val="32"/>
        </w:rPr>
        <w:t>年度部门预算情况说明</w:t>
      </w:r>
      <w:r>
        <w:rPr>
          <w:rFonts w:ascii="黑体" w:hAnsi="Times New Roman" w:eastAsia="黑体" w:cs="黑体"/>
          <w:sz w:val="32"/>
          <w:szCs w:val="32"/>
        </w:rPr>
        <w:t xml:space="preserve"> </w:t>
      </w:r>
    </w:p>
    <w:p>
      <w:pPr>
        <w:kinsoku w:val="0"/>
        <w:overflowPunct w:val="0"/>
        <w:adjustRightInd w:val="0"/>
        <w:snapToGrid w:val="0"/>
        <w:spacing w:line="360" w:lineRule="auto"/>
        <w:ind w:right="-58"/>
        <w:rPr>
          <w:rFonts w:ascii="黑体" w:hAnsi="Times New Roman" w:eastAsia="黑体" w:cs="黑体"/>
          <w:sz w:val="32"/>
          <w:szCs w:val="32"/>
        </w:rPr>
      </w:pPr>
      <w:r>
        <w:rPr>
          <w:rFonts w:hint="eastAsia" w:ascii="黑体" w:hAnsi="Times New Roman" w:eastAsia="黑体" w:cs="黑体"/>
          <w:sz w:val="32"/>
          <w:szCs w:val="32"/>
        </w:rPr>
        <w:t>一、收入支出预算总体情况说明</w:t>
      </w:r>
    </w:p>
    <w:p>
      <w:pPr>
        <w:kinsoku w:val="0"/>
        <w:overflowPunct w:val="0"/>
        <w:adjustRightInd w:val="0"/>
        <w:snapToGrid w:val="0"/>
        <w:spacing w:line="360" w:lineRule="auto"/>
        <w:ind w:right="84" w:firstLine="640" w:firstLineChars="200"/>
        <w:jc w:val="left"/>
        <w:rPr>
          <w:rFonts w:ascii="黑体" w:hAnsi="黑体" w:eastAsia="黑体"/>
          <w:sz w:val="32"/>
          <w:szCs w:val="32"/>
        </w:rPr>
      </w:pPr>
      <w:r>
        <w:rPr>
          <w:rFonts w:hint="eastAsia" w:ascii="黑体" w:hAnsi="黑体" w:eastAsia="黑体"/>
          <w:sz w:val="32"/>
          <w:szCs w:val="32"/>
        </w:rPr>
        <w:t>新乡市农机部门</w:t>
      </w:r>
      <w:r>
        <w:rPr>
          <w:rFonts w:ascii="黑体" w:hAnsi="黑体" w:eastAsia="黑体"/>
          <w:sz w:val="32"/>
          <w:szCs w:val="32"/>
        </w:rPr>
        <w:t>2018</w:t>
      </w:r>
      <w:r>
        <w:rPr>
          <w:rFonts w:hint="eastAsia" w:ascii="黑体" w:hAnsi="黑体" w:eastAsia="黑体"/>
          <w:sz w:val="32"/>
          <w:szCs w:val="32"/>
        </w:rPr>
        <w:t>年收入、支出总计均为</w:t>
      </w:r>
      <w:r>
        <w:rPr>
          <w:rFonts w:ascii="黑体" w:hAnsi="黑体" w:eastAsia="黑体"/>
          <w:sz w:val="32"/>
          <w:szCs w:val="32"/>
        </w:rPr>
        <w:t>692.50</w:t>
      </w:r>
      <w:r>
        <w:rPr>
          <w:rFonts w:hint="eastAsia" w:ascii="黑体" w:hAnsi="黑体" w:eastAsia="黑体"/>
          <w:sz w:val="32"/>
          <w:szCs w:val="32"/>
        </w:rPr>
        <w:t>万元，与</w:t>
      </w:r>
      <w:r>
        <w:rPr>
          <w:rFonts w:ascii="黑体" w:hAnsi="黑体" w:eastAsia="黑体"/>
          <w:sz w:val="32"/>
          <w:szCs w:val="32"/>
        </w:rPr>
        <w:t>2017</w:t>
      </w:r>
      <w:r>
        <w:rPr>
          <w:rFonts w:hint="eastAsia" w:ascii="黑体" w:hAnsi="黑体" w:eastAsia="黑体"/>
          <w:sz w:val="32"/>
          <w:szCs w:val="32"/>
        </w:rPr>
        <w:t>年相比，收入、支出均增加</w:t>
      </w:r>
      <w:r>
        <w:rPr>
          <w:rFonts w:ascii="黑体" w:hAnsi="黑体" w:eastAsia="黑体"/>
          <w:sz w:val="32"/>
          <w:szCs w:val="32"/>
        </w:rPr>
        <w:t>49.84</w:t>
      </w:r>
      <w:r>
        <w:rPr>
          <w:rFonts w:hint="eastAsia" w:ascii="黑体" w:hAnsi="黑体" w:eastAsia="黑体"/>
          <w:sz w:val="32"/>
          <w:szCs w:val="32"/>
        </w:rPr>
        <w:t>万元，增长</w:t>
      </w:r>
      <w:r>
        <w:rPr>
          <w:rFonts w:ascii="黑体" w:hAnsi="黑体" w:eastAsia="黑体"/>
          <w:sz w:val="32"/>
          <w:szCs w:val="32"/>
        </w:rPr>
        <w:t>7.76%</w:t>
      </w:r>
      <w:r>
        <w:rPr>
          <w:rFonts w:hint="eastAsia" w:ascii="黑体" w:hAnsi="黑体" w:eastAsia="黑体"/>
          <w:sz w:val="32"/>
          <w:szCs w:val="32"/>
        </w:rPr>
        <w:t>。</w:t>
      </w:r>
    </w:p>
    <w:p>
      <w:pPr>
        <w:kinsoku w:val="0"/>
        <w:overflowPunct w:val="0"/>
        <w:adjustRightInd w:val="0"/>
        <w:snapToGrid w:val="0"/>
        <w:spacing w:line="360" w:lineRule="auto"/>
        <w:ind w:right="-58"/>
        <w:rPr>
          <w:rFonts w:ascii="黑体" w:hAnsi="Times New Roman" w:eastAsia="黑体" w:cs="黑体"/>
          <w:sz w:val="32"/>
          <w:szCs w:val="32"/>
        </w:rPr>
      </w:pPr>
      <w:r>
        <w:rPr>
          <w:rFonts w:hint="eastAsia" w:ascii="黑体" w:hAnsi="Times New Roman" w:eastAsia="黑体" w:cs="黑体"/>
          <w:sz w:val="32"/>
          <w:szCs w:val="32"/>
        </w:rPr>
        <w:t>二、收入预算总体情况说明</w:t>
      </w:r>
    </w:p>
    <w:p>
      <w:pPr>
        <w:kinsoku w:val="0"/>
        <w:overflowPunct w:val="0"/>
        <w:adjustRightInd w:val="0"/>
        <w:snapToGrid w:val="0"/>
        <w:spacing w:line="360" w:lineRule="auto"/>
        <w:ind w:right="84" w:firstLine="640" w:firstLineChars="200"/>
        <w:jc w:val="left"/>
        <w:rPr>
          <w:rFonts w:ascii="黑体" w:hAnsi="黑体" w:eastAsia="黑体"/>
          <w:sz w:val="32"/>
          <w:szCs w:val="32"/>
        </w:rPr>
      </w:pPr>
      <w:r>
        <w:rPr>
          <w:rFonts w:hint="eastAsia" w:ascii="黑体" w:hAnsi="黑体" w:eastAsia="黑体"/>
          <w:sz w:val="32"/>
          <w:szCs w:val="32"/>
        </w:rPr>
        <w:t>新乡市农机部门</w:t>
      </w:r>
      <w:r>
        <w:rPr>
          <w:rFonts w:ascii="黑体" w:hAnsi="黑体" w:eastAsia="黑体"/>
          <w:sz w:val="32"/>
          <w:szCs w:val="32"/>
        </w:rPr>
        <w:t>2018</w:t>
      </w:r>
      <w:r>
        <w:rPr>
          <w:rFonts w:hint="eastAsia" w:ascii="黑体" w:hAnsi="黑体" w:eastAsia="黑体"/>
          <w:sz w:val="32"/>
          <w:szCs w:val="32"/>
        </w:rPr>
        <w:t>年收入合计</w:t>
      </w:r>
      <w:r>
        <w:rPr>
          <w:rFonts w:ascii="黑体" w:hAnsi="黑体" w:eastAsia="黑体"/>
          <w:sz w:val="32"/>
          <w:szCs w:val="32"/>
        </w:rPr>
        <w:t>692.50</w:t>
      </w:r>
      <w:r>
        <w:rPr>
          <w:rFonts w:hint="eastAsia" w:ascii="黑体" w:hAnsi="黑体" w:eastAsia="黑体"/>
          <w:sz w:val="32"/>
          <w:szCs w:val="32"/>
        </w:rPr>
        <w:t>万元，其中：一般公共预算</w:t>
      </w:r>
      <w:r>
        <w:rPr>
          <w:rFonts w:ascii="黑体" w:hAnsi="黑体" w:eastAsia="黑体"/>
          <w:sz w:val="32"/>
          <w:szCs w:val="32"/>
        </w:rPr>
        <w:t>692.50</w:t>
      </w:r>
      <w:r>
        <w:rPr>
          <w:rFonts w:hint="eastAsia" w:ascii="黑体" w:hAnsi="黑体" w:eastAsia="黑体"/>
          <w:sz w:val="32"/>
          <w:szCs w:val="32"/>
        </w:rPr>
        <w:t>万元。</w:t>
      </w:r>
    </w:p>
    <w:p>
      <w:pPr>
        <w:kinsoku w:val="0"/>
        <w:overflowPunct w:val="0"/>
        <w:adjustRightInd w:val="0"/>
        <w:snapToGrid w:val="0"/>
        <w:spacing w:line="360" w:lineRule="auto"/>
        <w:ind w:right="-58"/>
        <w:rPr>
          <w:rFonts w:ascii="黑体" w:hAnsi="Times New Roman" w:eastAsia="黑体" w:cs="黑体"/>
          <w:sz w:val="32"/>
          <w:szCs w:val="32"/>
        </w:rPr>
      </w:pPr>
      <w:r>
        <w:rPr>
          <w:rFonts w:hint="eastAsia" w:ascii="黑体" w:hAnsi="Times New Roman" w:eastAsia="黑体" w:cs="黑体"/>
          <w:sz w:val="32"/>
          <w:szCs w:val="32"/>
        </w:rPr>
        <w:t>三、支出预算总体情况说明</w:t>
      </w:r>
    </w:p>
    <w:p>
      <w:pPr>
        <w:kinsoku w:val="0"/>
        <w:overflowPunct w:val="0"/>
        <w:adjustRightInd w:val="0"/>
        <w:snapToGrid w:val="0"/>
        <w:spacing w:line="360" w:lineRule="auto"/>
        <w:ind w:right="84" w:firstLine="640" w:firstLineChars="200"/>
        <w:jc w:val="left"/>
        <w:rPr>
          <w:rFonts w:ascii="黑体" w:hAnsi="黑体" w:eastAsia="黑体"/>
          <w:sz w:val="32"/>
          <w:szCs w:val="32"/>
        </w:rPr>
      </w:pPr>
      <w:r>
        <w:rPr>
          <w:rFonts w:hint="eastAsia" w:ascii="黑体" w:hAnsi="黑体" w:eastAsia="黑体"/>
          <w:sz w:val="32"/>
          <w:szCs w:val="32"/>
        </w:rPr>
        <w:t>新乡市农机部门</w:t>
      </w:r>
      <w:r>
        <w:rPr>
          <w:rFonts w:ascii="黑体" w:hAnsi="黑体" w:eastAsia="黑体"/>
          <w:sz w:val="32"/>
          <w:szCs w:val="32"/>
        </w:rPr>
        <w:t>2018</w:t>
      </w:r>
      <w:r>
        <w:rPr>
          <w:rFonts w:hint="eastAsia" w:ascii="黑体" w:hAnsi="黑体" w:eastAsia="黑体"/>
          <w:sz w:val="32"/>
          <w:szCs w:val="32"/>
        </w:rPr>
        <w:t>年支出合计</w:t>
      </w:r>
      <w:r>
        <w:rPr>
          <w:rFonts w:ascii="黑体" w:hAnsi="黑体" w:eastAsia="黑体"/>
          <w:sz w:val="32"/>
          <w:szCs w:val="32"/>
        </w:rPr>
        <w:t>692.50</w:t>
      </w:r>
      <w:r>
        <w:rPr>
          <w:rFonts w:hint="eastAsia" w:ascii="黑体" w:hAnsi="黑体" w:eastAsia="黑体"/>
          <w:sz w:val="32"/>
          <w:szCs w:val="32"/>
        </w:rPr>
        <w:t>万元，其中：基本支出</w:t>
      </w:r>
      <w:r>
        <w:rPr>
          <w:rFonts w:ascii="黑体" w:hAnsi="黑体" w:eastAsia="黑体"/>
          <w:sz w:val="32"/>
          <w:szCs w:val="32"/>
        </w:rPr>
        <w:t>662.50</w:t>
      </w:r>
      <w:r>
        <w:rPr>
          <w:rFonts w:hint="eastAsia" w:ascii="黑体" w:hAnsi="黑体" w:eastAsia="黑体"/>
          <w:sz w:val="32"/>
          <w:szCs w:val="32"/>
        </w:rPr>
        <w:t>万元，占</w:t>
      </w:r>
      <w:r>
        <w:rPr>
          <w:rFonts w:ascii="黑体" w:hAnsi="黑体" w:eastAsia="黑体"/>
          <w:sz w:val="32"/>
          <w:szCs w:val="32"/>
        </w:rPr>
        <w:t>95.67%</w:t>
      </w:r>
      <w:r>
        <w:rPr>
          <w:rFonts w:hint="eastAsia" w:ascii="黑体" w:hAnsi="黑体" w:eastAsia="黑体"/>
          <w:sz w:val="32"/>
          <w:szCs w:val="32"/>
        </w:rPr>
        <w:t>；项目支出</w:t>
      </w:r>
      <w:r>
        <w:rPr>
          <w:rFonts w:ascii="黑体" w:hAnsi="黑体" w:eastAsia="黑体"/>
          <w:sz w:val="32"/>
          <w:szCs w:val="32"/>
        </w:rPr>
        <w:t>30.00</w:t>
      </w:r>
      <w:r>
        <w:rPr>
          <w:rFonts w:hint="eastAsia" w:ascii="黑体" w:hAnsi="黑体" w:eastAsia="黑体"/>
          <w:sz w:val="32"/>
          <w:szCs w:val="32"/>
        </w:rPr>
        <w:t>万元，占</w:t>
      </w:r>
      <w:r>
        <w:rPr>
          <w:rFonts w:ascii="黑体" w:hAnsi="黑体" w:eastAsia="黑体"/>
          <w:sz w:val="32"/>
          <w:szCs w:val="32"/>
        </w:rPr>
        <w:t>4.33%</w:t>
      </w:r>
      <w:r>
        <w:rPr>
          <w:rFonts w:hint="eastAsia" w:ascii="黑体" w:hAnsi="黑体" w:eastAsia="黑体"/>
          <w:sz w:val="32"/>
          <w:szCs w:val="32"/>
        </w:rPr>
        <w:t>。</w:t>
      </w:r>
    </w:p>
    <w:p>
      <w:pPr>
        <w:kinsoku w:val="0"/>
        <w:overflowPunct w:val="0"/>
        <w:adjustRightInd w:val="0"/>
        <w:snapToGrid w:val="0"/>
        <w:spacing w:line="360" w:lineRule="auto"/>
        <w:ind w:right="-58"/>
        <w:rPr>
          <w:rFonts w:ascii="黑体" w:hAnsi="Times New Roman" w:eastAsia="黑体" w:cs="黑体"/>
          <w:sz w:val="32"/>
          <w:szCs w:val="32"/>
        </w:rPr>
      </w:pPr>
      <w:r>
        <w:rPr>
          <w:rFonts w:hint="eastAsia" w:ascii="黑体" w:hAnsi="Times New Roman" w:eastAsia="黑体" w:cs="黑体"/>
          <w:sz w:val="32"/>
          <w:szCs w:val="32"/>
        </w:rPr>
        <w:t>四、财政拨款收入支出预算总体情况说明</w:t>
      </w:r>
    </w:p>
    <w:p>
      <w:pPr>
        <w:kinsoku w:val="0"/>
        <w:overflowPunct w:val="0"/>
        <w:adjustRightInd w:val="0"/>
        <w:snapToGrid w:val="0"/>
        <w:spacing w:line="360" w:lineRule="auto"/>
        <w:ind w:right="84" w:firstLine="640" w:firstLineChars="200"/>
        <w:jc w:val="left"/>
        <w:rPr>
          <w:rFonts w:ascii="黑体" w:hAnsi="黑体" w:eastAsia="黑体"/>
          <w:sz w:val="32"/>
          <w:szCs w:val="32"/>
        </w:rPr>
      </w:pPr>
      <w:r>
        <w:rPr>
          <w:rFonts w:hint="eastAsia" w:ascii="黑体" w:hAnsi="黑体" w:eastAsia="黑体"/>
          <w:sz w:val="32"/>
          <w:szCs w:val="32"/>
        </w:rPr>
        <w:t>新乡市农机部门</w:t>
      </w:r>
      <w:r>
        <w:rPr>
          <w:rFonts w:ascii="黑体" w:hAnsi="黑体" w:eastAsia="黑体"/>
          <w:sz w:val="32"/>
          <w:szCs w:val="32"/>
        </w:rPr>
        <w:t>2018</w:t>
      </w:r>
      <w:r>
        <w:rPr>
          <w:rFonts w:hint="eastAsia" w:ascii="黑体" w:hAnsi="黑体" w:eastAsia="黑体"/>
          <w:sz w:val="32"/>
          <w:szCs w:val="32"/>
        </w:rPr>
        <w:t>年财政拨款收支预算</w:t>
      </w:r>
      <w:r>
        <w:rPr>
          <w:rFonts w:ascii="黑体" w:hAnsi="黑体" w:eastAsia="黑体"/>
          <w:sz w:val="32"/>
          <w:szCs w:val="32"/>
        </w:rPr>
        <w:t>692.50</w:t>
      </w:r>
      <w:r>
        <w:rPr>
          <w:rFonts w:hint="eastAsia" w:ascii="黑体" w:hAnsi="黑体" w:eastAsia="黑体"/>
          <w:sz w:val="32"/>
          <w:szCs w:val="32"/>
        </w:rPr>
        <w:t>万元，政府性基金收支预算</w:t>
      </w:r>
      <w:r>
        <w:rPr>
          <w:rFonts w:ascii="黑体" w:hAnsi="黑体" w:eastAsia="黑体"/>
          <w:sz w:val="32"/>
          <w:szCs w:val="32"/>
        </w:rPr>
        <w:t>0</w:t>
      </w:r>
      <w:r>
        <w:rPr>
          <w:rFonts w:hint="eastAsia" w:ascii="黑体" w:hAnsi="黑体" w:eastAsia="黑体"/>
          <w:sz w:val="32"/>
          <w:szCs w:val="32"/>
        </w:rPr>
        <w:t>万元。与</w:t>
      </w:r>
      <w:r>
        <w:rPr>
          <w:rFonts w:ascii="黑体" w:hAnsi="黑体" w:eastAsia="黑体"/>
          <w:sz w:val="32"/>
          <w:szCs w:val="32"/>
        </w:rPr>
        <w:t xml:space="preserve"> 2017</w:t>
      </w:r>
      <w:r>
        <w:rPr>
          <w:rFonts w:hint="eastAsia" w:ascii="黑体" w:hAnsi="黑体" w:eastAsia="黑体"/>
          <w:sz w:val="32"/>
          <w:szCs w:val="32"/>
        </w:rPr>
        <w:t>年相比，增长</w:t>
      </w:r>
      <w:r>
        <w:rPr>
          <w:rFonts w:ascii="黑体" w:hAnsi="黑体" w:eastAsia="黑体"/>
          <w:sz w:val="32"/>
          <w:szCs w:val="32"/>
        </w:rPr>
        <w:t>7.76%</w:t>
      </w:r>
      <w:r>
        <w:rPr>
          <w:rFonts w:hint="eastAsia" w:ascii="黑体" w:hAnsi="黑体" w:eastAsia="黑体"/>
          <w:sz w:val="32"/>
          <w:szCs w:val="32"/>
        </w:rPr>
        <w:t>。</w:t>
      </w:r>
    </w:p>
    <w:p>
      <w:pPr>
        <w:kinsoku w:val="0"/>
        <w:overflowPunct w:val="0"/>
        <w:adjustRightInd w:val="0"/>
        <w:snapToGrid w:val="0"/>
        <w:spacing w:line="360" w:lineRule="auto"/>
        <w:ind w:right="-58"/>
        <w:rPr>
          <w:rFonts w:ascii="黑体" w:hAnsi="Times New Roman" w:eastAsia="黑体" w:cs="黑体"/>
          <w:sz w:val="32"/>
          <w:szCs w:val="32"/>
        </w:rPr>
      </w:pPr>
      <w:bookmarkStart w:id="0" w:name="_GoBack"/>
      <w:bookmarkEnd w:id="0"/>
      <w:r>
        <w:rPr>
          <w:rFonts w:hint="eastAsia" w:ascii="黑体" w:hAnsi="Times New Roman" w:eastAsia="黑体" w:cs="黑体"/>
          <w:sz w:val="32"/>
          <w:szCs w:val="32"/>
        </w:rPr>
        <w:t>五、一般公共预算支出情况说明</w:t>
      </w:r>
    </w:p>
    <w:p>
      <w:pPr>
        <w:kinsoku w:val="0"/>
        <w:overflowPunct w:val="0"/>
        <w:adjustRightInd w:val="0"/>
        <w:snapToGrid w:val="0"/>
        <w:spacing w:line="360" w:lineRule="auto"/>
        <w:ind w:right="-58" w:firstLine="640" w:firstLineChars="200"/>
        <w:jc w:val="left"/>
        <w:rPr>
          <w:rFonts w:ascii="黑体" w:hAnsi="黑体" w:eastAsia="黑体"/>
          <w:sz w:val="32"/>
          <w:szCs w:val="32"/>
        </w:rPr>
      </w:pPr>
      <w:r>
        <w:rPr>
          <w:rFonts w:hint="eastAsia" w:ascii="黑体" w:hAnsi="黑体" w:eastAsia="黑体"/>
          <w:sz w:val="32"/>
          <w:szCs w:val="32"/>
        </w:rPr>
        <w:t>新乡市农机部门</w:t>
      </w:r>
      <w:r>
        <w:rPr>
          <w:rFonts w:ascii="黑体" w:hAnsi="黑体" w:eastAsia="黑体"/>
          <w:sz w:val="32"/>
          <w:szCs w:val="32"/>
        </w:rPr>
        <w:t xml:space="preserve">2018 </w:t>
      </w:r>
      <w:r>
        <w:rPr>
          <w:rFonts w:hint="eastAsia" w:ascii="黑体" w:hAnsi="黑体" w:eastAsia="黑体"/>
          <w:sz w:val="32"/>
          <w:szCs w:val="32"/>
        </w:rPr>
        <w:t>年一般公共预算支出年初预算为</w:t>
      </w:r>
      <w:r>
        <w:rPr>
          <w:rFonts w:ascii="黑体" w:hAnsi="黑体" w:eastAsia="黑体"/>
          <w:sz w:val="32"/>
          <w:szCs w:val="32"/>
        </w:rPr>
        <w:t>692.50</w:t>
      </w:r>
      <w:r>
        <w:rPr>
          <w:rFonts w:hint="eastAsia" w:ascii="黑体" w:hAnsi="黑体" w:eastAsia="黑体"/>
          <w:sz w:val="32"/>
          <w:szCs w:val="32"/>
        </w:rPr>
        <w:t>万元。主要用于以下方面：培训费支出</w:t>
      </w:r>
      <w:r>
        <w:rPr>
          <w:rFonts w:ascii="黑体" w:hAnsi="黑体" w:eastAsia="黑体"/>
          <w:sz w:val="32"/>
          <w:szCs w:val="32"/>
        </w:rPr>
        <w:t>0.90</w:t>
      </w:r>
      <w:r>
        <w:rPr>
          <w:rFonts w:hint="eastAsia" w:ascii="黑体" w:hAnsi="黑体" w:eastAsia="黑体"/>
          <w:sz w:val="32"/>
          <w:szCs w:val="32"/>
        </w:rPr>
        <w:t>万元，占</w:t>
      </w:r>
      <w:r>
        <w:rPr>
          <w:rFonts w:ascii="黑体" w:hAnsi="黑体" w:eastAsia="黑体"/>
          <w:sz w:val="32"/>
          <w:szCs w:val="32"/>
        </w:rPr>
        <w:t>0.13%</w:t>
      </w:r>
      <w:r>
        <w:rPr>
          <w:rFonts w:hint="eastAsia" w:ascii="黑体" w:hAnsi="黑体" w:eastAsia="黑体"/>
          <w:sz w:val="32"/>
          <w:szCs w:val="32"/>
        </w:rPr>
        <w:t>；归口管理的行政单位离退休支出</w:t>
      </w:r>
      <w:r>
        <w:rPr>
          <w:rFonts w:ascii="黑体" w:hAnsi="黑体" w:eastAsia="黑体"/>
          <w:sz w:val="32"/>
          <w:szCs w:val="32"/>
        </w:rPr>
        <w:t>40.80</w:t>
      </w:r>
      <w:r>
        <w:rPr>
          <w:rFonts w:hint="eastAsia" w:ascii="黑体" w:hAnsi="黑体" w:eastAsia="黑体"/>
          <w:sz w:val="32"/>
          <w:szCs w:val="32"/>
        </w:rPr>
        <w:t>万元，占</w:t>
      </w:r>
      <w:r>
        <w:rPr>
          <w:rFonts w:ascii="黑体" w:hAnsi="黑体" w:eastAsia="黑体"/>
          <w:sz w:val="32"/>
          <w:szCs w:val="32"/>
        </w:rPr>
        <w:t>5.89%</w:t>
      </w:r>
      <w:r>
        <w:rPr>
          <w:rFonts w:hint="eastAsia" w:ascii="黑体" w:hAnsi="黑体" w:eastAsia="黑体"/>
          <w:sz w:val="32"/>
          <w:szCs w:val="32"/>
        </w:rPr>
        <w:t>；事业单位离退休支出</w:t>
      </w:r>
      <w:r>
        <w:rPr>
          <w:rFonts w:ascii="黑体" w:hAnsi="黑体" w:eastAsia="黑体"/>
          <w:sz w:val="32"/>
          <w:szCs w:val="32"/>
        </w:rPr>
        <w:t>39.50</w:t>
      </w:r>
      <w:r>
        <w:rPr>
          <w:rFonts w:hint="eastAsia" w:ascii="黑体" w:hAnsi="黑体" w:eastAsia="黑体"/>
          <w:sz w:val="32"/>
          <w:szCs w:val="32"/>
        </w:rPr>
        <w:t>万元，占</w:t>
      </w:r>
      <w:r>
        <w:rPr>
          <w:rFonts w:ascii="黑体" w:hAnsi="黑体" w:eastAsia="黑体"/>
          <w:sz w:val="32"/>
          <w:szCs w:val="32"/>
        </w:rPr>
        <w:t>5.70%</w:t>
      </w:r>
      <w:r>
        <w:rPr>
          <w:rFonts w:hint="eastAsia" w:ascii="黑体" w:hAnsi="黑体" w:eastAsia="黑体"/>
          <w:sz w:val="32"/>
          <w:szCs w:val="32"/>
        </w:rPr>
        <w:t>；机关事业单位基本养老保险支出</w:t>
      </w:r>
      <w:r>
        <w:rPr>
          <w:rFonts w:ascii="黑体" w:hAnsi="黑体" w:eastAsia="黑体"/>
          <w:sz w:val="32"/>
          <w:szCs w:val="32"/>
        </w:rPr>
        <w:t>60.80</w:t>
      </w:r>
      <w:r>
        <w:rPr>
          <w:rFonts w:hint="eastAsia" w:ascii="黑体" w:hAnsi="黑体" w:eastAsia="黑体"/>
          <w:sz w:val="32"/>
          <w:szCs w:val="32"/>
        </w:rPr>
        <w:t>万元，占</w:t>
      </w:r>
      <w:r>
        <w:rPr>
          <w:rFonts w:ascii="黑体" w:hAnsi="黑体" w:eastAsia="黑体"/>
          <w:sz w:val="32"/>
          <w:szCs w:val="32"/>
        </w:rPr>
        <w:t>8.78%</w:t>
      </w:r>
      <w:r>
        <w:rPr>
          <w:rFonts w:hint="eastAsia" w:ascii="黑体" w:hAnsi="黑体" w:eastAsia="黑体"/>
          <w:sz w:val="32"/>
          <w:szCs w:val="32"/>
        </w:rPr>
        <w:t>；其他社会保障和就业支出</w:t>
      </w:r>
      <w:r>
        <w:rPr>
          <w:rFonts w:ascii="黑体" w:hAnsi="黑体" w:eastAsia="黑体"/>
          <w:sz w:val="32"/>
          <w:szCs w:val="32"/>
        </w:rPr>
        <w:t>2.55</w:t>
      </w:r>
      <w:r>
        <w:rPr>
          <w:rFonts w:hint="eastAsia" w:ascii="黑体" w:hAnsi="黑体" w:eastAsia="黑体"/>
          <w:sz w:val="32"/>
          <w:szCs w:val="32"/>
        </w:rPr>
        <w:t>万元，占</w:t>
      </w:r>
      <w:r>
        <w:rPr>
          <w:rFonts w:ascii="黑体" w:hAnsi="黑体" w:eastAsia="黑体"/>
          <w:sz w:val="32"/>
          <w:szCs w:val="32"/>
        </w:rPr>
        <w:t>0.37%</w:t>
      </w:r>
      <w:r>
        <w:rPr>
          <w:rFonts w:hint="eastAsia" w:ascii="黑体" w:hAnsi="黑体" w:eastAsia="黑体"/>
          <w:sz w:val="32"/>
          <w:szCs w:val="32"/>
        </w:rPr>
        <w:t>；行政单位医疗支出</w:t>
      </w:r>
      <w:r>
        <w:rPr>
          <w:rFonts w:ascii="黑体" w:hAnsi="黑体" w:eastAsia="黑体"/>
          <w:sz w:val="32"/>
          <w:szCs w:val="32"/>
        </w:rPr>
        <w:t>11.29</w:t>
      </w:r>
      <w:r>
        <w:rPr>
          <w:rFonts w:hint="eastAsia" w:ascii="黑体" w:hAnsi="黑体" w:eastAsia="黑体"/>
          <w:sz w:val="32"/>
          <w:szCs w:val="32"/>
        </w:rPr>
        <w:t>万元，占</w:t>
      </w:r>
      <w:r>
        <w:rPr>
          <w:rFonts w:ascii="黑体" w:hAnsi="黑体" w:eastAsia="黑体"/>
          <w:sz w:val="32"/>
          <w:szCs w:val="32"/>
        </w:rPr>
        <w:t>1.63%</w:t>
      </w:r>
      <w:r>
        <w:rPr>
          <w:rFonts w:hint="eastAsia" w:ascii="黑体" w:hAnsi="黑体" w:eastAsia="黑体"/>
          <w:sz w:val="32"/>
          <w:szCs w:val="32"/>
        </w:rPr>
        <w:t>；事业单位医疗支出</w:t>
      </w:r>
      <w:r>
        <w:rPr>
          <w:rFonts w:ascii="黑体" w:hAnsi="黑体" w:eastAsia="黑体"/>
          <w:sz w:val="32"/>
          <w:szCs w:val="32"/>
        </w:rPr>
        <w:t>6.95</w:t>
      </w:r>
      <w:r>
        <w:rPr>
          <w:rFonts w:hint="eastAsia" w:ascii="黑体" w:hAnsi="黑体" w:eastAsia="黑体"/>
          <w:sz w:val="32"/>
          <w:szCs w:val="32"/>
        </w:rPr>
        <w:t>万元，占</w:t>
      </w:r>
      <w:r>
        <w:rPr>
          <w:rFonts w:ascii="黑体" w:hAnsi="黑体" w:eastAsia="黑体"/>
          <w:sz w:val="32"/>
          <w:szCs w:val="32"/>
        </w:rPr>
        <w:t>1.00%</w:t>
      </w:r>
      <w:r>
        <w:rPr>
          <w:rFonts w:hint="eastAsia" w:ascii="黑体" w:hAnsi="黑体" w:eastAsia="黑体"/>
          <w:sz w:val="32"/>
          <w:szCs w:val="32"/>
        </w:rPr>
        <w:t>；公务员医疗补助支出</w:t>
      </w:r>
      <w:r>
        <w:rPr>
          <w:rFonts w:ascii="黑体" w:hAnsi="黑体" w:eastAsia="黑体"/>
          <w:sz w:val="32"/>
          <w:szCs w:val="32"/>
        </w:rPr>
        <w:t>18.25</w:t>
      </w:r>
      <w:r>
        <w:rPr>
          <w:rFonts w:hint="eastAsia" w:ascii="黑体" w:hAnsi="黑体" w:eastAsia="黑体"/>
          <w:sz w:val="32"/>
          <w:szCs w:val="32"/>
        </w:rPr>
        <w:t>万元，占</w:t>
      </w:r>
      <w:r>
        <w:rPr>
          <w:rFonts w:ascii="黑体" w:hAnsi="黑体" w:eastAsia="黑体"/>
          <w:sz w:val="32"/>
          <w:szCs w:val="32"/>
        </w:rPr>
        <w:t>2.64%</w:t>
      </w:r>
      <w:r>
        <w:rPr>
          <w:rFonts w:hint="eastAsia" w:ascii="黑体" w:hAnsi="黑体" w:eastAsia="黑体"/>
          <w:sz w:val="32"/>
          <w:szCs w:val="32"/>
        </w:rPr>
        <w:t>；行政运行支出</w:t>
      </w:r>
      <w:r>
        <w:rPr>
          <w:rFonts w:ascii="黑体" w:hAnsi="黑体" w:eastAsia="黑体"/>
          <w:sz w:val="32"/>
          <w:szCs w:val="32"/>
        </w:rPr>
        <w:t>319.71</w:t>
      </w:r>
      <w:r>
        <w:rPr>
          <w:rFonts w:hint="eastAsia" w:ascii="黑体" w:hAnsi="黑体" w:eastAsia="黑体"/>
          <w:sz w:val="32"/>
          <w:szCs w:val="32"/>
        </w:rPr>
        <w:t>万元，占</w:t>
      </w:r>
      <w:r>
        <w:rPr>
          <w:rFonts w:ascii="黑体" w:hAnsi="黑体" w:eastAsia="黑体"/>
          <w:sz w:val="32"/>
          <w:szCs w:val="32"/>
        </w:rPr>
        <w:t>46.17%</w:t>
      </w:r>
      <w:r>
        <w:rPr>
          <w:rFonts w:hint="eastAsia" w:ascii="黑体" w:hAnsi="黑体" w:eastAsia="黑体"/>
          <w:sz w:val="32"/>
          <w:szCs w:val="32"/>
        </w:rPr>
        <w:t>；事业运行支出</w:t>
      </w:r>
      <w:r>
        <w:rPr>
          <w:rFonts w:ascii="黑体" w:hAnsi="黑体" w:eastAsia="黑体"/>
          <w:sz w:val="32"/>
          <w:szCs w:val="32"/>
        </w:rPr>
        <w:t>162</w:t>
      </w:r>
      <w:r>
        <w:rPr>
          <w:rFonts w:hint="eastAsia" w:ascii="黑体" w:hAnsi="黑体" w:eastAsia="黑体"/>
          <w:sz w:val="32"/>
          <w:szCs w:val="32"/>
        </w:rPr>
        <w:t>万元，占</w:t>
      </w:r>
      <w:r>
        <w:rPr>
          <w:rFonts w:ascii="黑体" w:hAnsi="黑体" w:eastAsia="黑体"/>
          <w:sz w:val="32"/>
          <w:szCs w:val="32"/>
        </w:rPr>
        <w:t>23.39%</w:t>
      </w:r>
      <w:r>
        <w:rPr>
          <w:rFonts w:hint="eastAsia" w:ascii="黑体" w:hAnsi="黑体" w:eastAsia="黑体"/>
          <w:sz w:val="32"/>
          <w:szCs w:val="32"/>
        </w:rPr>
        <w:t>；其他农业支出</w:t>
      </w:r>
      <w:r>
        <w:rPr>
          <w:rFonts w:ascii="黑体" w:hAnsi="黑体" w:eastAsia="黑体"/>
          <w:sz w:val="32"/>
          <w:szCs w:val="32"/>
        </w:rPr>
        <w:t>8.8</w:t>
      </w:r>
      <w:r>
        <w:rPr>
          <w:rFonts w:hint="eastAsia" w:ascii="黑体" w:hAnsi="黑体" w:eastAsia="黑体"/>
          <w:sz w:val="32"/>
          <w:szCs w:val="32"/>
        </w:rPr>
        <w:t>万元，占</w:t>
      </w:r>
      <w:r>
        <w:rPr>
          <w:rFonts w:ascii="黑体" w:hAnsi="黑体" w:eastAsia="黑体"/>
          <w:sz w:val="32"/>
          <w:szCs w:val="32"/>
        </w:rPr>
        <w:t>1.27%</w:t>
      </w:r>
      <w:r>
        <w:rPr>
          <w:rFonts w:hint="eastAsia" w:ascii="黑体" w:hAnsi="黑体" w:eastAsia="黑体"/>
          <w:sz w:val="32"/>
          <w:szCs w:val="32"/>
        </w:rPr>
        <w:t>；执法监管支出</w:t>
      </w:r>
      <w:r>
        <w:rPr>
          <w:rFonts w:ascii="黑体" w:hAnsi="黑体" w:eastAsia="黑体"/>
          <w:sz w:val="32"/>
          <w:szCs w:val="32"/>
        </w:rPr>
        <w:t>20.30</w:t>
      </w:r>
      <w:r>
        <w:rPr>
          <w:rFonts w:hint="eastAsia" w:ascii="黑体" w:hAnsi="黑体" w:eastAsia="黑体"/>
          <w:sz w:val="32"/>
          <w:szCs w:val="32"/>
        </w:rPr>
        <w:t>万元，占</w:t>
      </w:r>
      <w:r>
        <w:rPr>
          <w:rFonts w:ascii="黑体" w:hAnsi="黑体" w:eastAsia="黑体"/>
          <w:sz w:val="32"/>
          <w:szCs w:val="32"/>
        </w:rPr>
        <w:t>2.93%</w:t>
      </w:r>
      <w:r>
        <w:rPr>
          <w:rFonts w:hint="eastAsia" w:ascii="黑体" w:hAnsi="黑体" w:eastAsia="黑体"/>
          <w:sz w:val="32"/>
          <w:szCs w:val="32"/>
        </w:rPr>
        <w:t>；死亡抚恤支出</w:t>
      </w:r>
      <w:r>
        <w:rPr>
          <w:rFonts w:ascii="黑体" w:hAnsi="黑体" w:eastAsia="黑体"/>
          <w:sz w:val="32"/>
          <w:szCs w:val="32"/>
        </w:rPr>
        <w:t>0.65</w:t>
      </w:r>
      <w:r>
        <w:rPr>
          <w:rFonts w:hint="eastAsia" w:ascii="黑体" w:hAnsi="黑体" w:eastAsia="黑体"/>
          <w:sz w:val="32"/>
          <w:szCs w:val="32"/>
        </w:rPr>
        <w:t>万元，占</w:t>
      </w:r>
      <w:r>
        <w:rPr>
          <w:rFonts w:ascii="黑体" w:hAnsi="黑体" w:eastAsia="黑体"/>
          <w:sz w:val="32"/>
          <w:szCs w:val="32"/>
        </w:rPr>
        <w:t>0.09%</w:t>
      </w:r>
      <w:r>
        <w:rPr>
          <w:rFonts w:hint="eastAsia" w:ascii="黑体" w:hAnsi="黑体" w:eastAsia="黑体"/>
          <w:sz w:val="32"/>
          <w:szCs w:val="32"/>
        </w:rPr>
        <w:t>。</w:t>
      </w:r>
    </w:p>
    <w:p>
      <w:pPr>
        <w:kinsoku w:val="0"/>
        <w:overflowPunct w:val="0"/>
        <w:adjustRightInd w:val="0"/>
        <w:snapToGrid w:val="0"/>
        <w:spacing w:line="360" w:lineRule="auto"/>
        <w:ind w:right="-58"/>
        <w:rPr>
          <w:rFonts w:ascii="黑体" w:hAnsi="Times New Roman" w:eastAsia="黑体" w:cs="黑体"/>
          <w:sz w:val="32"/>
          <w:szCs w:val="32"/>
        </w:rPr>
      </w:pPr>
      <w:r>
        <w:rPr>
          <w:rFonts w:hint="eastAsia" w:ascii="黑体" w:hAnsi="Times New Roman" w:eastAsia="黑体" w:cs="黑体"/>
          <w:sz w:val="32"/>
          <w:szCs w:val="32"/>
        </w:rPr>
        <w:t>六、一般公共预算基本支出预算情况说明</w:t>
      </w:r>
    </w:p>
    <w:p>
      <w:pPr>
        <w:kinsoku w:val="0"/>
        <w:overflowPunct w:val="0"/>
        <w:adjustRightInd w:val="0"/>
        <w:snapToGrid w:val="0"/>
        <w:spacing w:line="360" w:lineRule="auto"/>
        <w:ind w:right="-58" w:firstLine="640" w:firstLineChars="200"/>
        <w:jc w:val="left"/>
        <w:rPr>
          <w:rFonts w:ascii="黑体" w:hAnsi="黑体" w:eastAsia="黑体"/>
          <w:sz w:val="32"/>
          <w:szCs w:val="32"/>
        </w:rPr>
      </w:pPr>
      <w:r>
        <w:rPr>
          <w:rFonts w:hint="eastAsia" w:ascii="黑体" w:hAnsi="黑体" w:eastAsia="黑体"/>
          <w:sz w:val="32"/>
          <w:szCs w:val="32"/>
        </w:rPr>
        <w:t>新乡市农机部门</w:t>
      </w:r>
      <w:r>
        <w:rPr>
          <w:rFonts w:ascii="黑体" w:hAnsi="黑体" w:eastAsia="黑体"/>
          <w:sz w:val="32"/>
          <w:szCs w:val="32"/>
        </w:rPr>
        <w:t>2018</w:t>
      </w:r>
      <w:r>
        <w:rPr>
          <w:rFonts w:hint="eastAsia" w:ascii="黑体" w:hAnsi="黑体" w:eastAsia="黑体"/>
          <w:sz w:val="32"/>
          <w:szCs w:val="32"/>
        </w:rPr>
        <w:t>年一般公共预算基本支出</w:t>
      </w:r>
      <w:r>
        <w:rPr>
          <w:rFonts w:ascii="黑体" w:hAnsi="黑体" w:eastAsia="黑体"/>
          <w:sz w:val="32"/>
          <w:szCs w:val="32"/>
        </w:rPr>
        <w:t>662.50</w:t>
      </w:r>
      <w:r>
        <w:rPr>
          <w:rFonts w:hint="eastAsia" w:ascii="黑体" w:hAnsi="黑体" w:eastAsia="黑体"/>
          <w:sz w:val="32"/>
          <w:szCs w:val="32"/>
        </w:rPr>
        <w:t>万元，其中：人员经费</w:t>
      </w:r>
      <w:r>
        <w:rPr>
          <w:rFonts w:ascii="黑体" w:hAnsi="黑体" w:eastAsia="黑体"/>
          <w:sz w:val="32"/>
          <w:szCs w:val="32"/>
        </w:rPr>
        <w:t>585.92</w:t>
      </w:r>
      <w:r>
        <w:rPr>
          <w:rFonts w:hint="eastAsia" w:ascii="黑体" w:hAnsi="黑体" w:eastAsia="黑体"/>
          <w:sz w:val="32"/>
          <w:szCs w:val="32"/>
        </w:rPr>
        <w:t>万元，主要包括：基本工资、津贴补贴、</w:t>
      </w:r>
      <w:r>
        <w:rPr>
          <w:rFonts w:ascii="黑体" w:hAnsi="黑体" w:eastAsia="黑体"/>
          <w:sz w:val="32"/>
          <w:szCs w:val="32"/>
        </w:rPr>
        <w:t xml:space="preserve"> </w:t>
      </w:r>
      <w:r>
        <w:rPr>
          <w:rFonts w:hint="eastAsia" w:ascii="黑体" w:hAnsi="黑体" w:eastAsia="黑体"/>
          <w:sz w:val="32"/>
          <w:szCs w:val="32"/>
        </w:rPr>
        <w:t>奖金、社会保障缴费、伙食补助费、绩效工资、其他工资福利支出、离休费、退休费、抚恤金、生活补助、医疗费、助学金、奖励金、住房公积金；公用经费</w:t>
      </w:r>
      <w:r>
        <w:rPr>
          <w:rFonts w:ascii="黑体" w:hAnsi="黑体" w:eastAsia="黑体"/>
          <w:sz w:val="32"/>
          <w:szCs w:val="32"/>
        </w:rPr>
        <w:t>76.58</w:t>
      </w:r>
      <w:r>
        <w:rPr>
          <w:rFonts w:hint="eastAsia" w:ascii="黑体" w:hAnsi="黑体" w:eastAsia="黑体"/>
          <w:sz w:val="32"/>
          <w:szCs w:val="32"/>
        </w:rPr>
        <w:t>万元，主要包括：办公费、印刷费等支出。</w:t>
      </w:r>
    </w:p>
    <w:p>
      <w:pPr>
        <w:kinsoku w:val="0"/>
        <w:overflowPunct w:val="0"/>
        <w:adjustRightInd w:val="0"/>
        <w:snapToGrid w:val="0"/>
        <w:spacing w:line="360" w:lineRule="auto"/>
        <w:ind w:right="-58"/>
        <w:rPr>
          <w:rFonts w:ascii="黑体" w:hAnsi="Times New Roman" w:eastAsia="黑体" w:cs="黑体"/>
          <w:sz w:val="32"/>
          <w:szCs w:val="32"/>
        </w:rPr>
      </w:pPr>
      <w:r>
        <w:rPr>
          <w:rFonts w:hint="eastAsia" w:ascii="黑体" w:hAnsi="Times New Roman" w:eastAsia="黑体" w:cs="黑体"/>
          <w:sz w:val="32"/>
          <w:szCs w:val="32"/>
        </w:rPr>
        <w:t>七、一般公共预算项目支出情况说明</w:t>
      </w:r>
    </w:p>
    <w:p>
      <w:pPr>
        <w:kinsoku w:val="0"/>
        <w:overflowPunct w:val="0"/>
        <w:adjustRightInd w:val="0"/>
        <w:snapToGrid w:val="0"/>
        <w:spacing w:line="360" w:lineRule="auto"/>
        <w:ind w:right="-58" w:firstLine="640" w:firstLineChars="200"/>
        <w:jc w:val="left"/>
        <w:rPr>
          <w:rFonts w:ascii="黑体" w:hAnsi="黑体" w:eastAsia="黑体"/>
          <w:sz w:val="32"/>
          <w:szCs w:val="32"/>
        </w:rPr>
      </w:pPr>
      <w:r>
        <w:rPr>
          <w:rFonts w:hint="eastAsia" w:ascii="黑体" w:hAnsi="黑体" w:eastAsia="黑体"/>
          <w:sz w:val="32"/>
          <w:szCs w:val="32"/>
        </w:rPr>
        <w:t>新乡农机部门</w:t>
      </w:r>
      <w:r>
        <w:rPr>
          <w:rFonts w:ascii="黑体" w:hAnsi="黑体" w:eastAsia="黑体"/>
          <w:sz w:val="32"/>
          <w:szCs w:val="32"/>
        </w:rPr>
        <w:t xml:space="preserve">2018 </w:t>
      </w:r>
      <w:r>
        <w:rPr>
          <w:rFonts w:hint="eastAsia" w:ascii="黑体" w:hAnsi="黑体" w:eastAsia="黑体"/>
          <w:sz w:val="32"/>
          <w:szCs w:val="32"/>
        </w:rPr>
        <w:t>年一般公共预算安排项目支出预算</w:t>
      </w:r>
      <w:r>
        <w:rPr>
          <w:rFonts w:ascii="黑体" w:hAnsi="黑体" w:eastAsia="黑体"/>
          <w:sz w:val="32"/>
          <w:szCs w:val="32"/>
        </w:rPr>
        <w:t>30.00</w:t>
      </w:r>
      <w:r>
        <w:rPr>
          <w:rFonts w:hint="eastAsia" w:ascii="黑体" w:hAnsi="黑体" w:eastAsia="黑体"/>
          <w:sz w:val="32"/>
          <w:szCs w:val="32"/>
        </w:rPr>
        <w:t>万元，全部纳入项目绩效目标管理。其中：运转类项目</w:t>
      </w:r>
      <w:r>
        <w:rPr>
          <w:rFonts w:ascii="黑体" w:hAnsi="黑体" w:eastAsia="黑体"/>
          <w:sz w:val="32"/>
          <w:szCs w:val="32"/>
        </w:rPr>
        <w:t>30.00</w:t>
      </w:r>
      <w:r>
        <w:rPr>
          <w:rFonts w:hint="eastAsia" w:ascii="黑体" w:hAnsi="黑体" w:eastAsia="黑体"/>
          <w:sz w:val="32"/>
          <w:szCs w:val="32"/>
        </w:rPr>
        <w:t>万元。</w:t>
      </w:r>
    </w:p>
    <w:p>
      <w:pPr>
        <w:kinsoku w:val="0"/>
        <w:overflowPunct w:val="0"/>
        <w:adjustRightInd w:val="0"/>
        <w:snapToGrid w:val="0"/>
        <w:spacing w:line="360" w:lineRule="auto"/>
        <w:ind w:right="-58"/>
        <w:rPr>
          <w:rFonts w:ascii="黑体" w:hAnsi="Times New Roman" w:eastAsia="黑体" w:cs="黑体"/>
          <w:sz w:val="32"/>
          <w:szCs w:val="32"/>
        </w:rPr>
      </w:pPr>
      <w:r>
        <w:rPr>
          <w:rFonts w:hint="eastAsia" w:ascii="黑体" w:hAnsi="Times New Roman" w:eastAsia="黑体" w:cs="黑体"/>
          <w:sz w:val="32"/>
          <w:szCs w:val="32"/>
        </w:rPr>
        <w:t>八、“三公”经费支出预算情况说明</w:t>
      </w:r>
    </w:p>
    <w:p>
      <w:pPr>
        <w:kinsoku w:val="0"/>
        <w:overflowPunct w:val="0"/>
        <w:adjustRightInd w:val="0"/>
        <w:snapToGrid w:val="0"/>
        <w:spacing w:line="360" w:lineRule="auto"/>
        <w:ind w:right="-58" w:firstLine="640" w:firstLineChars="200"/>
        <w:jc w:val="left"/>
        <w:rPr>
          <w:rFonts w:ascii="黑体" w:hAnsi="黑体" w:eastAsia="黑体"/>
          <w:sz w:val="32"/>
          <w:szCs w:val="32"/>
        </w:rPr>
      </w:pPr>
      <w:r>
        <w:rPr>
          <w:rFonts w:hint="eastAsia" w:ascii="黑体" w:hAnsi="黑体" w:eastAsia="黑体"/>
          <w:sz w:val="32"/>
          <w:szCs w:val="32"/>
        </w:rPr>
        <w:t>新乡市农机部门</w:t>
      </w:r>
      <w:r>
        <w:rPr>
          <w:rFonts w:ascii="黑体" w:hAnsi="黑体" w:eastAsia="黑体"/>
          <w:sz w:val="32"/>
          <w:szCs w:val="32"/>
        </w:rPr>
        <w:t>2018</w:t>
      </w:r>
      <w:r>
        <w:rPr>
          <w:rFonts w:hint="eastAsia" w:ascii="黑体" w:hAnsi="黑体" w:eastAsia="黑体"/>
          <w:sz w:val="32"/>
          <w:szCs w:val="32"/>
        </w:rPr>
        <w:t>年“三公”经费预算为</w:t>
      </w:r>
      <w:r>
        <w:rPr>
          <w:rFonts w:ascii="黑体" w:hAnsi="黑体" w:eastAsia="黑体"/>
          <w:sz w:val="32"/>
          <w:szCs w:val="32"/>
        </w:rPr>
        <w:t>10.30</w:t>
      </w:r>
      <w:r>
        <w:rPr>
          <w:rFonts w:hint="eastAsia" w:ascii="黑体" w:hAnsi="黑体" w:eastAsia="黑体"/>
          <w:sz w:val="32"/>
          <w:szCs w:val="32"/>
        </w:rPr>
        <w:t>万元。</w:t>
      </w:r>
      <w:r>
        <w:rPr>
          <w:rFonts w:ascii="黑体" w:hAnsi="黑体" w:eastAsia="黑体"/>
          <w:sz w:val="32"/>
          <w:szCs w:val="32"/>
        </w:rPr>
        <w:t>2018</w:t>
      </w:r>
      <w:r>
        <w:rPr>
          <w:rFonts w:hint="eastAsia" w:ascii="黑体" w:hAnsi="黑体" w:eastAsia="黑体"/>
          <w:sz w:val="32"/>
          <w:szCs w:val="32"/>
        </w:rPr>
        <w:t>年“三公”经费支出预算数比</w:t>
      </w:r>
      <w:r>
        <w:rPr>
          <w:rFonts w:ascii="黑体" w:hAnsi="黑体" w:eastAsia="黑体"/>
          <w:sz w:val="32"/>
          <w:szCs w:val="32"/>
        </w:rPr>
        <w:t xml:space="preserve"> 2017</w:t>
      </w:r>
      <w:r>
        <w:rPr>
          <w:rFonts w:hint="eastAsia" w:ascii="黑体" w:hAnsi="黑体" w:eastAsia="黑体"/>
          <w:sz w:val="32"/>
          <w:szCs w:val="32"/>
        </w:rPr>
        <w:t>年减少</w:t>
      </w:r>
      <w:r>
        <w:rPr>
          <w:rFonts w:ascii="黑体" w:hAnsi="黑体" w:eastAsia="黑体"/>
          <w:sz w:val="32"/>
          <w:szCs w:val="32"/>
        </w:rPr>
        <w:t>2.47</w:t>
      </w:r>
      <w:r>
        <w:rPr>
          <w:rFonts w:hint="eastAsia" w:ascii="黑体" w:hAnsi="黑体" w:eastAsia="黑体"/>
          <w:sz w:val="32"/>
          <w:szCs w:val="32"/>
        </w:rPr>
        <w:t>万元。具体情况如下：</w:t>
      </w:r>
    </w:p>
    <w:p>
      <w:pPr>
        <w:kinsoku w:val="0"/>
        <w:overflowPunct w:val="0"/>
        <w:adjustRightInd w:val="0"/>
        <w:snapToGrid w:val="0"/>
        <w:spacing w:line="360" w:lineRule="auto"/>
        <w:ind w:right="-58" w:firstLine="640" w:firstLineChars="200"/>
        <w:jc w:val="left"/>
        <w:rPr>
          <w:rFonts w:ascii="黑体" w:hAnsi="黑体" w:eastAsia="黑体"/>
          <w:sz w:val="32"/>
          <w:szCs w:val="32"/>
        </w:rPr>
      </w:pPr>
      <w:r>
        <w:rPr>
          <w:rFonts w:hint="eastAsia" w:ascii="黑体" w:hAnsi="黑体" w:eastAsia="黑体"/>
          <w:sz w:val="32"/>
          <w:szCs w:val="32"/>
        </w:rPr>
        <w:t>（一）因公出国（境）费</w:t>
      </w:r>
      <w:r>
        <w:rPr>
          <w:rFonts w:ascii="黑体" w:hAnsi="黑体" w:eastAsia="黑体"/>
          <w:sz w:val="32"/>
          <w:szCs w:val="32"/>
        </w:rPr>
        <w:t xml:space="preserve"> 0 </w:t>
      </w:r>
      <w:r>
        <w:rPr>
          <w:rFonts w:hint="eastAsia" w:ascii="黑体" w:hAnsi="黑体" w:eastAsia="黑体"/>
          <w:sz w:val="32"/>
          <w:szCs w:val="32"/>
        </w:rPr>
        <w:t>万元，预算数与</w:t>
      </w:r>
      <w:r>
        <w:rPr>
          <w:rFonts w:ascii="黑体" w:hAnsi="黑体" w:eastAsia="黑体"/>
          <w:sz w:val="32"/>
          <w:szCs w:val="32"/>
        </w:rPr>
        <w:t xml:space="preserve"> 2017 </w:t>
      </w:r>
      <w:r>
        <w:rPr>
          <w:rFonts w:hint="eastAsia" w:ascii="黑体" w:hAnsi="黑体" w:eastAsia="黑体"/>
          <w:sz w:val="32"/>
          <w:szCs w:val="32"/>
        </w:rPr>
        <w:t>年相比没有变化。</w:t>
      </w:r>
    </w:p>
    <w:p>
      <w:pPr>
        <w:kinsoku w:val="0"/>
        <w:overflowPunct w:val="0"/>
        <w:adjustRightInd w:val="0"/>
        <w:snapToGrid w:val="0"/>
        <w:spacing w:line="360" w:lineRule="auto"/>
        <w:ind w:right="-58" w:firstLine="640" w:firstLineChars="200"/>
        <w:jc w:val="left"/>
        <w:rPr>
          <w:rFonts w:ascii="黑体" w:hAnsi="黑体" w:eastAsia="黑体"/>
          <w:sz w:val="32"/>
          <w:szCs w:val="32"/>
        </w:rPr>
      </w:pPr>
      <w:r>
        <w:rPr>
          <w:rFonts w:hint="eastAsia" w:ascii="黑体" w:hAnsi="黑体" w:eastAsia="黑体"/>
          <w:sz w:val="32"/>
          <w:szCs w:val="32"/>
        </w:rPr>
        <w:t>（二）公务用车购置及运行费</w:t>
      </w:r>
      <w:r>
        <w:rPr>
          <w:rFonts w:ascii="黑体" w:hAnsi="黑体" w:eastAsia="黑体"/>
          <w:sz w:val="32"/>
          <w:szCs w:val="32"/>
        </w:rPr>
        <w:t xml:space="preserve"> 10.30</w:t>
      </w:r>
      <w:r>
        <w:rPr>
          <w:rFonts w:hint="eastAsia" w:ascii="黑体" w:hAnsi="黑体" w:eastAsia="黑体"/>
          <w:sz w:val="32"/>
          <w:szCs w:val="32"/>
        </w:rPr>
        <w:t>万元，其中，公务用车购置费</w:t>
      </w:r>
      <w:r>
        <w:rPr>
          <w:rFonts w:ascii="黑体" w:hAnsi="黑体" w:eastAsia="黑体"/>
          <w:sz w:val="32"/>
          <w:szCs w:val="32"/>
        </w:rPr>
        <w:t>0</w:t>
      </w:r>
      <w:r>
        <w:rPr>
          <w:rFonts w:hint="eastAsia" w:ascii="黑体" w:hAnsi="黑体" w:eastAsia="黑体"/>
          <w:sz w:val="32"/>
          <w:szCs w:val="32"/>
        </w:rPr>
        <w:t>万元；公务用车运行维护费</w:t>
      </w:r>
      <w:r>
        <w:rPr>
          <w:rFonts w:ascii="黑体" w:hAnsi="黑体" w:eastAsia="黑体"/>
          <w:sz w:val="32"/>
          <w:szCs w:val="32"/>
        </w:rPr>
        <w:t>10.30</w:t>
      </w:r>
      <w:r>
        <w:rPr>
          <w:rFonts w:hint="eastAsia" w:ascii="黑体" w:hAnsi="黑体" w:eastAsia="黑体"/>
          <w:sz w:val="32"/>
          <w:szCs w:val="32"/>
        </w:rPr>
        <w:t>万元，主要用于开展工作所需公务用车的燃料费、维修费、过路过桥费、保险费、安全奖励费用等支出。公务用车运行维护费预算数与</w:t>
      </w:r>
      <w:r>
        <w:rPr>
          <w:rFonts w:ascii="黑体" w:hAnsi="黑体" w:eastAsia="黑体"/>
          <w:sz w:val="32"/>
          <w:szCs w:val="32"/>
        </w:rPr>
        <w:t xml:space="preserve"> 2017 </w:t>
      </w:r>
      <w:r>
        <w:rPr>
          <w:rFonts w:hint="eastAsia" w:ascii="黑体" w:hAnsi="黑体" w:eastAsia="黑体"/>
          <w:sz w:val="32"/>
          <w:szCs w:val="32"/>
        </w:rPr>
        <w:t>年相比减少</w:t>
      </w:r>
      <w:r>
        <w:rPr>
          <w:rFonts w:ascii="黑体" w:hAnsi="黑体" w:eastAsia="黑体"/>
          <w:sz w:val="32"/>
          <w:szCs w:val="32"/>
        </w:rPr>
        <w:t>0.77</w:t>
      </w:r>
      <w:r>
        <w:rPr>
          <w:rFonts w:hint="eastAsia" w:ascii="黑体" w:hAnsi="黑体" w:eastAsia="黑体"/>
          <w:sz w:val="32"/>
          <w:szCs w:val="32"/>
        </w:rPr>
        <w:t>万元。</w:t>
      </w:r>
      <w:r>
        <w:rPr>
          <w:rFonts w:ascii="黑体" w:hAnsi="黑体" w:eastAsia="黑体"/>
          <w:sz w:val="32"/>
          <w:szCs w:val="32"/>
        </w:rPr>
        <w:t xml:space="preserve"> </w:t>
      </w:r>
    </w:p>
    <w:p>
      <w:pPr>
        <w:kinsoku w:val="0"/>
        <w:overflowPunct w:val="0"/>
        <w:adjustRightInd w:val="0"/>
        <w:snapToGrid w:val="0"/>
        <w:spacing w:line="360" w:lineRule="auto"/>
        <w:ind w:right="-58" w:firstLine="640" w:firstLineChars="200"/>
        <w:jc w:val="left"/>
        <w:rPr>
          <w:rFonts w:ascii="黑体" w:hAnsi="黑体" w:eastAsia="黑体"/>
          <w:sz w:val="32"/>
          <w:szCs w:val="32"/>
        </w:rPr>
      </w:pPr>
      <w:r>
        <w:rPr>
          <w:rFonts w:hint="eastAsia" w:ascii="黑体" w:hAnsi="黑体" w:eastAsia="黑体"/>
          <w:sz w:val="32"/>
          <w:szCs w:val="32"/>
        </w:rPr>
        <w:t>（三）公务接待费</w:t>
      </w:r>
      <w:r>
        <w:rPr>
          <w:rFonts w:ascii="黑体" w:hAnsi="黑体" w:eastAsia="黑体"/>
          <w:sz w:val="32"/>
          <w:szCs w:val="32"/>
        </w:rPr>
        <w:t>0</w:t>
      </w:r>
      <w:r>
        <w:rPr>
          <w:rFonts w:hint="eastAsia" w:ascii="黑体" w:hAnsi="黑体" w:eastAsia="黑体"/>
          <w:sz w:val="32"/>
          <w:szCs w:val="32"/>
        </w:rPr>
        <w:t>万元。预算数比</w:t>
      </w:r>
      <w:r>
        <w:rPr>
          <w:rFonts w:ascii="黑体" w:hAnsi="黑体" w:eastAsia="黑体"/>
          <w:sz w:val="32"/>
          <w:szCs w:val="32"/>
        </w:rPr>
        <w:t xml:space="preserve"> 2017</w:t>
      </w:r>
      <w:r>
        <w:rPr>
          <w:rFonts w:hint="eastAsia" w:ascii="黑体" w:hAnsi="黑体" w:eastAsia="黑体"/>
          <w:sz w:val="32"/>
          <w:szCs w:val="32"/>
        </w:rPr>
        <w:t>年减少</w:t>
      </w:r>
      <w:r>
        <w:rPr>
          <w:rFonts w:ascii="黑体" w:hAnsi="黑体" w:eastAsia="黑体"/>
          <w:sz w:val="32"/>
          <w:szCs w:val="32"/>
        </w:rPr>
        <w:t>1.7</w:t>
      </w:r>
      <w:r>
        <w:rPr>
          <w:rFonts w:hint="eastAsia" w:ascii="黑体" w:hAnsi="黑体" w:eastAsia="黑体"/>
          <w:sz w:val="32"/>
          <w:szCs w:val="32"/>
        </w:rPr>
        <w:t>万元。主要原因：主要是严格执行《党政机关国内公务接待管理规定》等办法，不断规范公务接待管理，严格接待审批控制，厉行勤俭节约，不断压缩公务接待费支出。</w:t>
      </w:r>
    </w:p>
    <w:p>
      <w:pPr>
        <w:kinsoku w:val="0"/>
        <w:overflowPunct w:val="0"/>
        <w:adjustRightInd w:val="0"/>
        <w:snapToGrid w:val="0"/>
        <w:spacing w:line="360" w:lineRule="auto"/>
        <w:ind w:right="-58"/>
        <w:rPr>
          <w:rFonts w:ascii="黑体" w:hAnsi="Times New Roman" w:eastAsia="黑体" w:cs="黑体"/>
          <w:sz w:val="32"/>
          <w:szCs w:val="32"/>
        </w:rPr>
      </w:pPr>
      <w:r>
        <w:rPr>
          <w:rFonts w:hint="eastAsia" w:ascii="黑体" w:hAnsi="Times New Roman" w:eastAsia="黑体" w:cs="黑体"/>
          <w:sz w:val="32"/>
          <w:szCs w:val="32"/>
        </w:rPr>
        <w:t>九、政府性基金预算支出情况说明</w:t>
      </w:r>
    </w:p>
    <w:p>
      <w:pPr>
        <w:kinsoku w:val="0"/>
        <w:overflowPunct w:val="0"/>
        <w:adjustRightInd w:val="0"/>
        <w:snapToGrid w:val="0"/>
        <w:spacing w:line="360" w:lineRule="auto"/>
        <w:ind w:right="-58" w:firstLine="640" w:firstLineChars="200"/>
        <w:jc w:val="left"/>
        <w:rPr>
          <w:rFonts w:ascii="黑体" w:hAnsi="黑体" w:eastAsia="黑体"/>
          <w:sz w:val="32"/>
          <w:szCs w:val="32"/>
        </w:rPr>
      </w:pPr>
      <w:r>
        <w:rPr>
          <w:rFonts w:hint="eastAsia" w:ascii="黑体" w:hAnsi="黑体" w:eastAsia="黑体"/>
          <w:sz w:val="32"/>
          <w:szCs w:val="32"/>
        </w:rPr>
        <w:t>新乡市农机部门</w:t>
      </w:r>
      <w:r>
        <w:rPr>
          <w:rFonts w:ascii="黑体" w:hAnsi="黑体" w:eastAsia="黑体"/>
          <w:sz w:val="32"/>
          <w:szCs w:val="32"/>
        </w:rPr>
        <w:t>2018</w:t>
      </w:r>
      <w:r>
        <w:rPr>
          <w:rFonts w:hint="eastAsia" w:ascii="黑体" w:hAnsi="黑体" w:eastAsia="黑体"/>
          <w:sz w:val="32"/>
          <w:szCs w:val="32"/>
        </w:rPr>
        <w:t>年没有使用政府性基金预算拨款安排的支出。</w:t>
      </w:r>
    </w:p>
    <w:p>
      <w:pPr>
        <w:kinsoku w:val="0"/>
        <w:overflowPunct w:val="0"/>
        <w:adjustRightInd w:val="0"/>
        <w:snapToGrid w:val="0"/>
        <w:spacing w:line="360" w:lineRule="auto"/>
        <w:ind w:right="-58"/>
        <w:rPr>
          <w:rFonts w:ascii="黑体" w:hAnsi="Times New Roman" w:eastAsia="黑体" w:cs="黑体"/>
          <w:sz w:val="32"/>
          <w:szCs w:val="32"/>
        </w:rPr>
      </w:pPr>
      <w:r>
        <w:rPr>
          <w:rFonts w:hint="eastAsia" w:ascii="黑体" w:hAnsi="Times New Roman" w:eastAsia="黑体" w:cs="黑体"/>
          <w:sz w:val="32"/>
          <w:szCs w:val="32"/>
        </w:rPr>
        <w:t>十、机关运行经费支出情况</w:t>
      </w:r>
    </w:p>
    <w:p>
      <w:pPr>
        <w:kinsoku w:val="0"/>
        <w:overflowPunct w:val="0"/>
        <w:adjustRightInd w:val="0"/>
        <w:snapToGrid w:val="0"/>
        <w:spacing w:line="360" w:lineRule="auto"/>
        <w:ind w:right="-58" w:firstLine="640" w:firstLineChars="200"/>
        <w:jc w:val="left"/>
        <w:rPr>
          <w:rFonts w:ascii="黑体" w:hAnsi="黑体" w:eastAsia="黑体"/>
          <w:sz w:val="32"/>
          <w:szCs w:val="32"/>
        </w:rPr>
      </w:pPr>
      <w:r>
        <w:rPr>
          <w:rFonts w:hint="eastAsia" w:ascii="黑体" w:hAnsi="黑体" w:eastAsia="黑体"/>
          <w:sz w:val="32"/>
          <w:szCs w:val="32"/>
        </w:rPr>
        <w:t>新乡市农机部门</w:t>
      </w:r>
      <w:r>
        <w:rPr>
          <w:rFonts w:ascii="黑体" w:hAnsi="黑体" w:eastAsia="黑体"/>
          <w:sz w:val="32"/>
          <w:szCs w:val="32"/>
        </w:rPr>
        <w:t>2018</w:t>
      </w:r>
      <w:r>
        <w:rPr>
          <w:rFonts w:hint="eastAsia" w:ascii="黑体" w:hAnsi="黑体" w:eastAsia="黑体"/>
          <w:sz w:val="32"/>
          <w:szCs w:val="32"/>
        </w:rPr>
        <w:t>年运行经费支出预算</w:t>
      </w:r>
      <w:r>
        <w:rPr>
          <w:rFonts w:ascii="黑体" w:hAnsi="黑体" w:eastAsia="黑体"/>
          <w:sz w:val="32"/>
          <w:szCs w:val="32"/>
        </w:rPr>
        <w:t>58.92</w:t>
      </w:r>
      <w:r>
        <w:rPr>
          <w:rFonts w:hint="eastAsia" w:ascii="黑体" w:hAnsi="黑体" w:eastAsia="黑体"/>
          <w:sz w:val="32"/>
          <w:szCs w:val="32"/>
        </w:rPr>
        <w:t>万元，主要保障机构正常运转及正常履职需要。</w:t>
      </w:r>
    </w:p>
    <w:p>
      <w:pPr>
        <w:kinsoku w:val="0"/>
        <w:overflowPunct w:val="0"/>
        <w:adjustRightInd w:val="0"/>
        <w:snapToGrid w:val="0"/>
        <w:spacing w:line="360" w:lineRule="auto"/>
        <w:ind w:right="-58"/>
        <w:rPr>
          <w:rFonts w:ascii="黑体" w:hAnsi="Times New Roman" w:eastAsia="黑体" w:cs="黑体"/>
          <w:sz w:val="32"/>
          <w:szCs w:val="32"/>
        </w:rPr>
      </w:pPr>
      <w:r>
        <w:rPr>
          <w:rFonts w:hint="eastAsia" w:ascii="黑体" w:hAnsi="Times New Roman" w:eastAsia="黑体" w:cs="黑体"/>
          <w:sz w:val="32"/>
          <w:szCs w:val="32"/>
        </w:rPr>
        <w:t>十</w:t>
      </w:r>
      <w:r>
        <w:rPr>
          <w:rFonts w:hint="eastAsia" w:ascii="黑体" w:hAnsi="Times New Roman" w:eastAsia="黑体" w:cs="黑体"/>
          <w:sz w:val="32"/>
          <w:szCs w:val="32"/>
          <w:lang w:eastAsia="zh-CN"/>
        </w:rPr>
        <w:t>一</w:t>
      </w:r>
      <w:r>
        <w:rPr>
          <w:rFonts w:hint="eastAsia" w:ascii="黑体" w:hAnsi="Times New Roman" w:eastAsia="黑体" w:cs="黑体"/>
          <w:sz w:val="32"/>
          <w:szCs w:val="32"/>
        </w:rPr>
        <w:t>、预算绩效管理工作开展情况说明</w:t>
      </w:r>
    </w:p>
    <w:p>
      <w:pPr>
        <w:kinsoku w:val="0"/>
        <w:overflowPunct w:val="0"/>
        <w:adjustRightInd w:val="0"/>
        <w:snapToGrid w:val="0"/>
        <w:spacing w:line="360" w:lineRule="auto"/>
        <w:ind w:right="-58" w:firstLine="640" w:firstLineChars="200"/>
        <w:jc w:val="left"/>
        <w:rPr>
          <w:rFonts w:ascii="黑体" w:hAnsi="黑体" w:eastAsia="黑体"/>
          <w:sz w:val="32"/>
          <w:szCs w:val="32"/>
        </w:rPr>
      </w:pPr>
      <w:r>
        <w:rPr>
          <w:rFonts w:ascii="黑体" w:hAnsi="黑体" w:eastAsia="黑体"/>
          <w:sz w:val="32"/>
          <w:szCs w:val="32"/>
        </w:rPr>
        <w:t>2017</w:t>
      </w:r>
      <w:r>
        <w:rPr>
          <w:rFonts w:hint="eastAsia" w:ascii="黑体" w:hAnsi="黑体" w:eastAsia="黑体"/>
          <w:sz w:val="32"/>
          <w:szCs w:val="32"/>
        </w:rPr>
        <w:t>年，我单位对</w:t>
      </w:r>
      <w:r>
        <w:rPr>
          <w:rFonts w:ascii="黑体" w:hAnsi="黑体" w:eastAsia="黑体"/>
          <w:sz w:val="32"/>
          <w:szCs w:val="32"/>
        </w:rPr>
        <w:t>2016</w:t>
      </w:r>
      <w:r>
        <w:rPr>
          <w:rFonts w:hint="eastAsia" w:ascii="黑体" w:hAnsi="黑体" w:eastAsia="黑体"/>
          <w:sz w:val="32"/>
          <w:szCs w:val="32"/>
        </w:rPr>
        <w:t>年所有项目进行绩效评价，涉及金额</w:t>
      </w:r>
      <w:r>
        <w:rPr>
          <w:rFonts w:ascii="黑体" w:hAnsi="黑体" w:eastAsia="黑体"/>
          <w:sz w:val="32"/>
          <w:szCs w:val="32"/>
        </w:rPr>
        <w:t>53.03</w:t>
      </w:r>
      <w:r>
        <w:rPr>
          <w:rFonts w:hint="eastAsia" w:ascii="黑体" w:hAnsi="黑体" w:eastAsia="黑体"/>
          <w:sz w:val="32"/>
          <w:szCs w:val="32"/>
        </w:rPr>
        <w:t>万元，项目均成效显著，达到预期目标。</w:t>
      </w:r>
    </w:p>
    <w:p>
      <w:pPr>
        <w:kinsoku w:val="0"/>
        <w:overflowPunct w:val="0"/>
        <w:adjustRightInd w:val="0"/>
        <w:snapToGrid w:val="0"/>
        <w:spacing w:line="360" w:lineRule="auto"/>
        <w:ind w:right="-58" w:firstLine="640" w:firstLineChars="200"/>
        <w:jc w:val="left"/>
        <w:rPr>
          <w:rFonts w:ascii="黑体" w:hAnsi="黑体" w:eastAsia="黑体"/>
          <w:sz w:val="32"/>
          <w:szCs w:val="32"/>
        </w:rPr>
      </w:pPr>
      <w:r>
        <w:rPr>
          <w:rFonts w:ascii="黑体" w:hAnsi="黑体" w:eastAsia="黑体"/>
          <w:sz w:val="32"/>
          <w:szCs w:val="32"/>
        </w:rPr>
        <w:t>2018</w:t>
      </w:r>
      <w:r>
        <w:rPr>
          <w:rFonts w:hint="eastAsia" w:ascii="黑体" w:hAnsi="黑体" w:eastAsia="黑体"/>
          <w:sz w:val="32"/>
          <w:szCs w:val="32"/>
        </w:rPr>
        <w:t>年拟对</w:t>
      </w:r>
      <w:r>
        <w:rPr>
          <w:rFonts w:ascii="黑体" w:hAnsi="黑体" w:eastAsia="黑体"/>
          <w:sz w:val="32"/>
          <w:szCs w:val="32"/>
        </w:rPr>
        <w:t>2017</w:t>
      </w:r>
      <w:r>
        <w:rPr>
          <w:rFonts w:hint="eastAsia" w:ascii="黑体" w:hAnsi="黑体" w:eastAsia="黑体"/>
          <w:sz w:val="32"/>
          <w:szCs w:val="32"/>
        </w:rPr>
        <w:t>年所有项目进行绩效评价，涉及金额</w:t>
      </w:r>
      <w:r>
        <w:rPr>
          <w:rFonts w:ascii="黑体" w:hAnsi="黑体" w:eastAsia="黑体"/>
          <w:sz w:val="32"/>
          <w:szCs w:val="32"/>
        </w:rPr>
        <w:t>34.11</w:t>
      </w:r>
      <w:r>
        <w:rPr>
          <w:rFonts w:hint="eastAsia" w:ascii="黑体" w:hAnsi="黑体" w:eastAsia="黑体"/>
          <w:sz w:val="32"/>
          <w:szCs w:val="32"/>
        </w:rPr>
        <w:t>万元。</w:t>
      </w:r>
    </w:p>
    <w:p>
      <w:pPr>
        <w:kinsoku w:val="0"/>
        <w:overflowPunct w:val="0"/>
        <w:adjustRightInd w:val="0"/>
        <w:snapToGrid w:val="0"/>
        <w:spacing w:line="360" w:lineRule="auto"/>
        <w:ind w:right="-58"/>
        <w:rPr>
          <w:rFonts w:ascii="黑体" w:hAnsi="Times New Roman" w:eastAsia="黑体" w:cs="黑体"/>
          <w:sz w:val="32"/>
          <w:szCs w:val="32"/>
        </w:rPr>
      </w:pPr>
      <w:r>
        <w:rPr>
          <w:rFonts w:hint="eastAsia" w:ascii="黑体" w:hAnsi="Times New Roman" w:eastAsia="黑体" w:cs="黑体"/>
          <w:sz w:val="32"/>
          <w:szCs w:val="32"/>
        </w:rPr>
        <w:t>十</w:t>
      </w:r>
      <w:r>
        <w:rPr>
          <w:rFonts w:hint="eastAsia" w:ascii="黑体" w:hAnsi="Times New Roman" w:eastAsia="黑体" w:cs="黑体"/>
          <w:sz w:val="32"/>
          <w:szCs w:val="32"/>
          <w:lang w:eastAsia="zh-CN"/>
        </w:rPr>
        <w:t>二</w:t>
      </w:r>
      <w:r>
        <w:rPr>
          <w:rFonts w:hint="eastAsia" w:ascii="黑体" w:hAnsi="Times New Roman" w:eastAsia="黑体" w:cs="黑体"/>
          <w:sz w:val="32"/>
          <w:szCs w:val="32"/>
        </w:rPr>
        <w:t>、国有资产占用情况说明</w:t>
      </w:r>
    </w:p>
    <w:p>
      <w:pPr>
        <w:kinsoku w:val="0"/>
        <w:overflowPunct w:val="0"/>
        <w:adjustRightInd w:val="0"/>
        <w:snapToGrid w:val="0"/>
        <w:spacing w:line="360" w:lineRule="auto"/>
        <w:ind w:right="-58" w:firstLine="640" w:firstLineChars="200"/>
        <w:jc w:val="left"/>
        <w:rPr>
          <w:rFonts w:hint="eastAsia" w:ascii="黑体" w:hAnsi="黑体" w:eastAsia="黑体"/>
          <w:sz w:val="32"/>
          <w:szCs w:val="32"/>
        </w:rPr>
      </w:pPr>
      <w:r>
        <w:rPr>
          <w:rFonts w:ascii="黑体" w:hAnsi="黑体" w:eastAsia="黑体"/>
          <w:sz w:val="32"/>
          <w:szCs w:val="32"/>
        </w:rPr>
        <w:t>2017</w:t>
      </w:r>
      <w:r>
        <w:rPr>
          <w:rFonts w:hint="eastAsia" w:ascii="黑体" w:hAnsi="黑体" w:eastAsia="黑体"/>
          <w:sz w:val="32"/>
          <w:szCs w:val="32"/>
        </w:rPr>
        <w:t>年资产总额</w:t>
      </w:r>
      <w:r>
        <w:rPr>
          <w:rFonts w:ascii="黑体" w:hAnsi="黑体" w:eastAsia="黑体"/>
          <w:sz w:val="32"/>
          <w:szCs w:val="32"/>
        </w:rPr>
        <w:t>617.86</w:t>
      </w:r>
      <w:r>
        <w:rPr>
          <w:rFonts w:hint="eastAsia" w:ascii="黑体" w:hAnsi="黑体" w:eastAsia="黑体"/>
          <w:sz w:val="32"/>
          <w:szCs w:val="32"/>
        </w:rPr>
        <w:t>万元，较上年减少</w:t>
      </w:r>
      <w:r>
        <w:rPr>
          <w:rFonts w:ascii="黑体" w:hAnsi="黑体" w:eastAsia="黑体"/>
          <w:sz w:val="32"/>
          <w:szCs w:val="32"/>
        </w:rPr>
        <w:t>0.14%</w:t>
      </w:r>
      <w:r>
        <w:rPr>
          <w:rFonts w:hint="eastAsia" w:ascii="黑体" w:hAnsi="黑体" w:eastAsia="黑体"/>
          <w:sz w:val="32"/>
          <w:szCs w:val="32"/>
        </w:rPr>
        <w:t>。其中：固定资产</w:t>
      </w:r>
      <w:r>
        <w:rPr>
          <w:rFonts w:ascii="黑体" w:hAnsi="黑体" w:eastAsia="黑体"/>
          <w:sz w:val="32"/>
          <w:szCs w:val="32"/>
        </w:rPr>
        <w:t>539.56</w:t>
      </w:r>
      <w:r>
        <w:rPr>
          <w:rFonts w:hint="eastAsia" w:ascii="黑体" w:hAnsi="黑体" w:eastAsia="黑体"/>
          <w:sz w:val="32"/>
          <w:szCs w:val="32"/>
        </w:rPr>
        <w:t>万元。</w:t>
      </w:r>
    </w:p>
    <w:p>
      <w:pPr>
        <w:kinsoku w:val="0"/>
        <w:overflowPunct w:val="0"/>
        <w:adjustRightInd w:val="0"/>
        <w:snapToGrid w:val="0"/>
        <w:spacing w:line="360" w:lineRule="auto"/>
        <w:ind w:right="-58"/>
        <w:jc w:val="left"/>
        <w:rPr>
          <w:rFonts w:hint="eastAsia" w:ascii="黑体" w:hAnsi="黑体" w:eastAsia="黑体"/>
          <w:sz w:val="32"/>
          <w:szCs w:val="32"/>
        </w:rPr>
      </w:pPr>
      <w:r>
        <w:rPr>
          <w:rFonts w:hint="eastAsia" w:ascii="黑体" w:hAnsi="黑体" w:eastAsia="黑体"/>
          <w:sz w:val="32"/>
          <w:szCs w:val="32"/>
        </w:rPr>
        <w:t>十</w:t>
      </w:r>
      <w:r>
        <w:rPr>
          <w:rFonts w:hint="eastAsia" w:ascii="黑体" w:hAnsi="Times New Roman" w:eastAsia="黑体" w:cs="黑体"/>
          <w:sz w:val="32"/>
          <w:szCs w:val="32"/>
        </w:rPr>
        <w:t>三</w:t>
      </w:r>
      <w:r>
        <w:rPr>
          <w:rFonts w:hint="eastAsia" w:ascii="黑体" w:hAnsi="黑体" w:eastAsia="黑体"/>
          <w:sz w:val="32"/>
          <w:szCs w:val="32"/>
        </w:rPr>
        <w:t>、政府采购说明</w:t>
      </w:r>
    </w:p>
    <w:p>
      <w:pPr>
        <w:kinsoku w:val="0"/>
        <w:overflowPunct w:val="0"/>
        <w:adjustRightInd w:val="0"/>
        <w:snapToGrid w:val="0"/>
        <w:spacing w:line="360" w:lineRule="auto"/>
        <w:ind w:right="-58" w:firstLine="640" w:firstLineChars="200"/>
        <w:jc w:val="left"/>
        <w:rPr>
          <w:rFonts w:hint="eastAsia" w:ascii="黑体" w:hAnsi="黑体" w:eastAsia="黑体"/>
          <w:sz w:val="32"/>
          <w:szCs w:val="32"/>
        </w:rPr>
      </w:pPr>
      <w:r>
        <w:rPr>
          <w:rFonts w:hint="eastAsia" w:ascii="黑体" w:hAnsi="黑体" w:eastAsia="黑体"/>
          <w:sz w:val="32"/>
          <w:szCs w:val="32"/>
        </w:rPr>
        <w:t>2018年农机部门政府采购预算共10.9万元。其中货物类7.4万元，服务类3万元，工程类0.5万元。</w:t>
      </w:r>
    </w:p>
    <w:p>
      <w:pPr>
        <w:kinsoku w:val="0"/>
        <w:overflowPunct w:val="0"/>
        <w:adjustRightInd w:val="0"/>
        <w:snapToGrid w:val="0"/>
        <w:spacing w:line="360" w:lineRule="auto"/>
        <w:ind w:right="-58"/>
        <w:jc w:val="left"/>
        <w:rPr>
          <w:rFonts w:hint="eastAsia" w:ascii="黑体" w:hAnsi="黑体" w:eastAsia="黑体"/>
          <w:sz w:val="32"/>
          <w:szCs w:val="32"/>
        </w:rPr>
      </w:pPr>
      <w:r>
        <w:rPr>
          <w:rFonts w:hint="eastAsia" w:ascii="黑体" w:hAnsi="黑体" w:eastAsia="黑体"/>
          <w:sz w:val="32"/>
          <w:szCs w:val="32"/>
        </w:rPr>
        <w:t>十</w:t>
      </w:r>
      <w:r>
        <w:rPr>
          <w:rFonts w:hint="eastAsia" w:ascii="黑体" w:hAnsi="黑体" w:eastAsia="黑体"/>
          <w:sz w:val="32"/>
          <w:szCs w:val="32"/>
          <w:lang w:eastAsia="zh-CN"/>
        </w:rPr>
        <w:t>四</w:t>
      </w:r>
      <w:r>
        <w:rPr>
          <w:rFonts w:hint="eastAsia" w:ascii="黑体" w:hAnsi="黑体" w:eastAsia="黑体"/>
          <w:sz w:val="32"/>
          <w:szCs w:val="32"/>
        </w:rPr>
        <w:t>、</w:t>
      </w:r>
      <w:r>
        <w:rPr>
          <w:rFonts w:hint="eastAsia" w:ascii="黑体" w:hAnsi="黑体" w:eastAsia="黑体"/>
          <w:sz w:val="32"/>
          <w:szCs w:val="32"/>
          <w:lang w:eastAsia="zh-CN"/>
        </w:rPr>
        <w:t>其他重要事项的情况说明</w:t>
      </w:r>
    </w:p>
    <w:p>
      <w:pPr>
        <w:keepNext w:val="0"/>
        <w:keepLines w:val="0"/>
        <w:pageBreakBefore w:val="0"/>
        <w:widowControl w:val="0"/>
        <w:kinsoku w:val="0"/>
        <w:wordWrap/>
        <w:overflowPunct w:val="0"/>
        <w:topLinePunct w:val="0"/>
        <w:autoSpaceDE/>
        <w:autoSpaceDN/>
        <w:bidi w:val="0"/>
        <w:adjustRightInd w:val="0"/>
        <w:snapToGrid w:val="0"/>
        <w:spacing w:line="360" w:lineRule="auto"/>
        <w:ind w:left="0" w:leftChars="0" w:right="-58" w:rightChars="0" w:firstLine="640" w:firstLineChars="200"/>
        <w:jc w:val="both"/>
        <w:textAlignment w:val="auto"/>
        <w:outlineLvl w:val="9"/>
        <w:rPr>
          <w:rFonts w:hint="eastAsia" w:ascii="黑体" w:hAnsi="Times New Roman" w:eastAsia="黑体" w:cs="黑体"/>
          <w:sz w:val="32"/>
          <w:szCs w:val="32"/>
          <w:lang w:eastAsia="zh-CN"/>
        </w:rPr>
      </w:pPr>
      <w:r>
        <w:rPr>
          <w:rFonts w:hint="eastAsia" w:ascii="黑体" w:hAnsi="Times New Roman" w:eastAsia="黑体" w:cs="黑体"/>
          <w:sz w:val="32"/>
          <w:szCs w:val="32"/>
          <w:lang w:eastAsia="zh-CN"/>
        </w:rPr>
        <w:t>无</w:t>
      </w:r>
    </w:p>
    <w:p>
      <w:pPr>
        <w:kinsoku w:val="0"/>
        <w:overflowPunct w:val="0"/>
        <w:adjustRightInd w:val="0"/>
        <w:snapToGrid w:val="0"/>
        <w:spacing w:line="360" w:lineRule="auto"/>
        <w:ind w:right="-58"/>
        <w:rPr>
          <w:rFonts w:ascii="黑体" w:hAnsi="Times New Roman" w:eastAsia="黑体" w:cs="黑体"/>
          <w:sz w:val="32"/>
          <w:szCs w:val="32"/>
        </w:rPr>
      </w:pPr>
    </w:p>
    <w:p>
      <w:pPr>
        <w:kinsoku w:val="0"/>
        <w:overflowPunct w:val="0"/>
        <w:adjustRightInd w:val="0"/>
        <w:snapToGrid w:val="0"/>
        <w:spacing w:line="360" w:lineRule="auto"/>
        <w:ind w:right="-58"/>
        <w:rPr>
          <w:rFonts w:ascii="黑体" w:hAnsi="Times New Roman" w:eastAsia="黑体" w:cs="黑体"/>
          <w:sz w:val="32"/>
          <w:szCs w:val="32"/>
        </w:rPr>
      </w:pPr>
    </w:p>
    <w:p>
      <w:pPr>
        <w:kinsoku w:val="0"/>
        <w:overflowPunct w:val="0"/>
        <w:adjustRightInd w:val="0"/>
        <w:snapToGrid w:val="0"/>
        <w:spacing w:line="360" w:lineRule="auto"/>
        <w:ind w:right="-58"/>
        <w:rPr>
          <w:rFonts w:ascii="黑体" w:hAnsi="Times New Roman" w:eastAsia="黑体" w:cs="黑体"/>
          <w:sz w:val="32"/>
          <w:szCs w:val="32"/>
        </w:rPr>
      </w:pPr>
    </w:p>
    <w:p>
      <w:pPr>
        <w:kinsoku w:val="0"/>
        <w:overflowPunct w:val="0"/>
        <w:adjustRightInd w:val="0"/>
        <w:snapToGrid w:val="0"/>
        <w:spacing w:line="360" w:lineRule="auto"/>
        <w:ind w:right="-58"/>
        <w:rPr>
          <w:rFonts w:ascii="黑体" w:hAnsi="Times New Roman" w:eastAsia="黑体" w:cs="黑体"/>
          <w:sz w:val="32"/>
          <w:szCs w:val="32"/>
        </w:rPr>
      </w:pPr>
    </w:p>
    <w:p>
      <w:pPr>
        <w:kinsoku w:val="0"/>
        <w:overflowPunct w:val="0"/>
        <w:adjustRightInd w:val="0"/>
        <w:snapToGrid w:val="0"/>
        <w:spacing w:line="360" w:lineRule="auto"/>
        <w:ind w:right="-58"/>
        <w:rPr>
          <w:rFonts w:ascii="黑体" w:hAnsi="Times New Roman" w:eastAsia="黑体" w:cs="黑体"/>
          <w:sz w:val="32"/>
          <w:szCs w:val="32"/>
        </w:rPr>
      </w:pPr>
      <w:r>
        <w:rPr>
          <w:rFonts w:hint="eastAsia" w:ascii="黑体" w:hAnsi="Times New Roman" w:eastAsia="黑体" w:cs="黑体"/>
          <w:sz w:val="32"/>
          <w:szCs w:val="32"/>
        </w:rPr>
        <w:br w:type="page"/>
      </w:r>
      <w:r>
        <w:rPr>
          <w:rFonts w:hint="eastAsia" w:ascii="黑体" w:hAnsi="Times New Roman" w:eastAsia="黑体" w:cs="黑体"/>
          <w:sz w:val="32"/>
          <w:szCs w:val="32"/>
        </w:rPr>
        <w:t>第三部分</w:t>
      </w:r>
      <w:r>
        <w:rPr>
          <w:rFonts w:ascii="黑体" w:hAnsi="Times New Roman" w:eastAsia="黑体" w:cs="黑体"/>
          <w:sz w:val="32"/>
          <w:szCs w:val="32"/>
        </w:rPr>
        <w:t xml:space="preserve">  </w:t>
      </w:r>
      <w:r>
        <w:rPr>
          <w:rFonts w:hint="eastAsia" w:ascii="黑体" w:hAnsi="Times New Roman" w:eastAsia="黑体" w:cs="黑体"/>
          <w:sz w:val="32"/>
          <w:szCs w:val="32"/>
        </w:rPr>
        <w:t>名词解释</w:t>
      </w:r>
    </w:p>
    <w:p>
      <w:pPr>
        <w:kinsoku w:val="0"/>
        <w:overflowPunct w:val="0"/>
        <w:adjustRightInd w:val="0"/>
        <w:snapToGrid w:val="0"/>
        <w:spacing w:line="360" w:lineRule="auto"/>
        <w:ind w:right="-58" w:firstLine="640" w:firstLineChars="200"/>
        <w:jc w:val="left"/>
        <w:rPr>
          <w:rFonts w:ascii="黑体" w:hAnsi="黑体" w:eastAsia="黑体"/>
          <w:sz w:val="32"/>
          <w:szCs w:val="32"/>
        </w:rPr>
      </w:pPr>
      <w:r>
        <w:rPr>
          <w:rFonts w:hint="eastAsia" w:ascii="黑体" w:hAnsi="黑体" w:eastAsia="黑体"/>
          <w:sz w:val="32"/>
          <w:szCs w:val="32"/>
        </w:rPr>
        <w:t>一、财政拨款：是指市级财政当年拨付的纳入一般公共预算和政府性基金预算管理的资金。</w:t>
      </w:r>
    </w:p>
    <w:p>
      <w:pPr>
        <w:kinsoku w:val="0"/>
        <w:overflowPunct w:val="0"/>
        <w:adjustRightInd w:val="0"/>
        <w:snapToGrid w:val="0"/>
        <w:spacing w:line="360" w:lineRule="auto"/>
        <w:ind w:right="-58" w:firstLine="640" w:firstLineChars="200"/>
        <w:jc w:val="left"/>
        <w:rPr>
          <w:rFonts w:ascii="黑体" w:hAnsi="黑体" w:eastAsia="黑体"/>
          <w:sz w:val="32"/>
          <w:szCs w:val="32"/>
        </w:rPr>
      </w:pPr>
      <w:r>
        <w:rPr>
          <w:rFonts w:hint="eastAsia" w:ascii="黑体" w:hAnsi="黑体" w:eastAsia="黑体"/>
          <w:sz w:val="32"/>
          <w:szCs w:val="32"/>
        </w:rPr>
        <w:t>二、一般债务收入：指纳入一般公共预算管理的政府债务收入。</w:t>
      </w:r>
    </w:p>
    <w:p>
      <w:pPr>
        <w:kinsoku w:val="0"/>
        <w:overflowPunct w:val="0"/>
        <w:adjustRightInd w:val="0"/>
        <w:snapToGrid w:val="0"/>
        <w:spacing w:line="360" w:lineRule="auto"/>
        <w:ind w:right="-58" w:firstLine="640" w:firstLineChars="200"/>
        <w:jc w:val="left"/>
        <w:rPr>
          <w:rFonts w:ascii="黑体" w:hAnsi="黑体" w:eastAsia="黑体"/>
          <w:sz w:val="32"/>
          <w:szCs w:val="32"/>
        </w:rPr>
      </w:pPr>
      <w:r>
        <w:rPr>
          <w:rFonts w:hint="eastAsia" w:ascii="黑体" w:hAnsi="黑体" w:eastAsia="黑体"/>
          <w:sz w:val="32"/>
          <w:szCs w:val="32"/>
        </w:rPr>
        <w:t>三、盘活存量资金：指按照国家有关规定重新安排使用的以前年度的存量资金。</w:t>
      </w:r>
    </w:p>
    <w:p>
      <w:pPr>
        <w:kinsoku w:val="0"/>
        <w:overflowPunct w:val="0"/>
        <w:adjustRightInd w:val="0"/>
        <w:snapToGrid w:val="0"/>
        <w:spacing w:line="360" w:lineRule="auto"/>
        <w:ind w:right="-58" w:firstLine="640" w:firstLineChars="200"/>
        <w:jc w:val="left"/>
        <w:rPr>
          <w:rFonts w:ascii="黑体" w:hAnsi="黑体" w:eastAsia="黑体"/>
          <w:sz w:val="32"/>
          <w:szCs w:val="32"/>
        </w:rPr>
      </w:pPr>
      <w:r>
        <w:rPr>
          <w:rFonts w:hint="eastAsia" w:ascii="黑体" w:hAnsi="黑体" w:eastAsia="黑体"/>
          <w:sz w:val="32"/>
          <w:szCs w:val="32"/>
        </w:rPr>
        <w:t>四、纳入财政专户管理收费：指按照上级有关规定，教育部门收取的，暂不缴入国库，纳入财政专户管理的各项收费。</w:t>
      </w:r>
    </w:p>
    <w:p>
      <w:pPr>
        <w:kinsoku w:val="0"/>
        <w:overflowPunct w:val="0"/>
        <w:adjustRightInd w:val="0"/>
        <w:snapToGrid w:val="0"/>
        <w:spacing w:line="360" w:lineRule="auto"/>
        <w:ind w:right="-58" w:firstLine="640" w:firstLineChars="200"/>
        <w:jc w:val="left"/>
        <w:rPr>
          <w:rFonts w:ascii="黑体" w:hAnsi="黑体" w:eastAsia="黑体"/>
          <w:sz w:val="32"/>
          <w:szCs w:val="32"/>
        </w:rPr>
      </w:pPr>
      <w:r>
        <w:rPr>
          <w:rFonts w:hint="eastAsia" w:ascii="黑体" w:hAnsi="黑体" w:eastAsia="黑体"/>
          <w:sz w:val="32"/>
          <w:szCs w:val="32"/>
        </w:rPr>
        <w:t>五、单位其他收入：指未纳入一般公共预算、政府性基金预算、财政专户管理，不缴入国库、财政专户的单位事业收入、经营收入和其他收入。</w:t>
      </w:r>
    </w:p>
    <w:p>
      <w:pPr>
        <w:kinsoku w:val="0"/>
        <w:overflowPunct w:val="0"/>
        <w:adjustRightInd w:val="0"/>
        <w:snapToGrid w:val="0"/>
        <w:spacing w:line="360" w:lineRule="auto"/>
        <w:ind w:right="-58" w:firstLine="640" w:firstLineChars="200"/>
        <w:jc w:val="left"/>
        <w:rPr>
          <w:rFonts w:ascii="黑体" w:hAnsi="黑体" w:eastAsia="黑体"/>
          <w:sz w:val="32"/>
          <w:szCs w:val="32"/>
        </w:rPr>
      </w:pPr>
      <w:r>
        <w:rPr>
          <w:rFonts w:hint="eastAsia" w:ascii="黑体" w:hAnsi="黑体" w:eastAsia="黑体"/>
          <w:sz w:val="32"/>
          <w:szCs w:val="32"/>
        </w:rPr>
        <w:t>六、基本支出：是指为保障机构正常运转、完成日常工作任务所必需的、不能纳入项目绩效管理的开支。</w:t>
      </w:r>
    </w:p>
    <w:p>
      <w:pPr>
        <w:kinsoku w:val="0"/>
        <w:overflowPunct w:val="0"/>
        <w:adjustRightInd w:val="0"/>
        <w:snapToGrid w:val="0"/>
        <w:spacing w:line="360" w:lineRule="auto"/>
        <w:ind w:right="-58" w:firstLine="640" w:firstLineChars="200"/>
        <w:jc w:val="left"/>
        <w:rPr>
          <w:rFonts w:ascii="黑体" w:hAnsi="黑体" w:eastAsia="黑体"/>
          <w:sz w:val="32"/>
          <w:szCs w:val="32"/>
        </w:rPr>
      </w:pPr>
      <w:r>
        <w:rPr>
          <w:rFonts w:hint="eastAsia" w:ascii="黑体" w:hAnsi="黑体" w:eastAsia="黑体"/>
          <w:sz w:val="32"/>
          <w:szCs w:val="32"/>
        </w:rPr>
        <w:t>七、项目支出：是指在基本支出之外，为完成特定的行政工作任务或事业发展目标所发生的能够纳入项目绩效管理的支出。根据项目管理方式不同，依次选择“专项资金、投资类项目、运转类项目和其他项目”。其中：</w:t>
      </w:r>
    </w:p>
    <w:p>
      <w:pPr>
        <w:kinsoku w:val="0"/>
        <w:overflowPunct w:val="0"/>
        <w:adjustRightInd w:val="0"/>
        <w:snapToGrid w:val="0"/>
        <w:spacing w:line="360" w:lineRule="auto"/>
        <w:ind w:right="-58" w:firstLine="640" w:firstLineChars="200"/>
        <w:jc w:val="left"/>
        <w:rPr>
          <w:rFonts w:ascii="黑体" w:hAnsi="黑体" w:eastAsia="黑体"/>
          <w:sz w:val="32"/>
          <w:szCs w:val="32"/>
        </w:rPr>
      </w:pPr>
      <w:r>
        <w:rPr>
          <w:rFonts w:hint="eastAsia" w:ascii="黑体" w:hAnsi="黑体" w:eastAsia="黑体"/>
          <w:sz w:val="32"/>
          <w:szCs w:val="32"/>
        </w:rPr>
        <w:t>专项资金</w:t>
      </w:r>
      <w:r>
        <w:rPr>
          <w:rFonts w:ascii="黑体" w:hAnsi="黑体" w:eastAsia="黑体"/>
          <w:sz w:val="32"/>
          <w:szCs w:val="32"/>
        </w:rPr>
        <w:t>,</w:t>
      </w:r>
      <w:r>
        <w:rPr>
          <w:rFonts w:hint="eastAsia" w:ascii="黑体" w:hAnsi="黑体" w:eastAsia="黑体"/>
          <w:sz w:val="32"/>
          <w:szCs w:val="32"/>
        </w:rPr>
        <w:t>指根据《新乡市市级财政专项资金管理办法》</w:t>
      </w:r>
      <w:r>
        <w:rPr>
          <w:rFonts w:ascii="黑体" w:hAnsi="黑体" w:eastAsia="黑体"/>
          <w:sz w:val="32"/>
          <w:szCs w:val="32"/>
        </w:rPr>
        <w:t>(</w:t>
      </w:r>
      <w:r>
        <w:rPr>
          <w:rFonts w:hint="eastAsia" w:ascii="黑体" w:hAnsi="黑体" w:eastAsia="黑体"/>
          <w:sz w:val="32"/>
          <w:szCs w:val="32"/>
        </w:rPr>
        <w:t>新政文〔</w:t>
      </w:r>
      <w:r>
        <w:rPr>
          <w:rFonts w:ascii="黑体" w:hAnsi="黑体" w:eastAsia="黑体"/>
          <w:sz w:val="32"/>
          <w:szCs w:val="32"/>
        </w:rPr>
        <w:t>2015</w:t>
      </w:r>
      <w:r>
        <w:rPr>
          <w:rFonts w:hint="eastAsia" w:ascii="黑体" w:hAnsi="黑体" w:eastAsia="黑体"/>
          <w:sz w:val="32"/>
          <w:szCs w:val="32"/>
        </w:rPr>
        <w:t>〕</w:t>
      </w:r>
      <w:r>
        <w:rPr>
          <w:rFonts w:ascii="黑体" w:hAnsi="黑体" w:eastAsia="黑体"/>
          <w:sz w:val="32"/>
          <w:szCs w:val="32"/>
        </w:rPr>
        <w:t>65</w:t>
      </w:r>
      <w:r>
        <w:rPr>
          <w:rFonts w:hint="eastAsia" w:ascii="黑体" w:hAnsi="黑体" w:eastAsia="黑体"/>
          <w:sz w:val="32"/>
          <w:szCs w:val="32"/>
        </w:rPr>
        <w:t>号</w:t>
      </w:r>
      <w:r>
        <w:rPr>
          <w:rFonts w:ascii="黑体" w:hAnsi="黑体" w:eastAsia="黑体"/>
          <w:sz w:val="32"/>
          <w:szCs w:val="32"/>
        </w:rPr>
        <w:t>)</w:t>
      </w:r>
      <w:r>
        <w:rPr>
          <w:rFonts w:hint="eastAsia" w:ascii="黑体" w:hAnsi="黑体" w:eastAsia="黑体"/>
          <w:sz w:val="32"/>
          <w:szCs w:val="32"/>
        </w:rPr>
        <w:t>规定，为促进经济社会发展、完成特定工作任务或实现特定事业发展目标</w:t>
      </w:r>
      <w:r>
        <w:rPr>
          <w:rFonts w:ascii="黑体" w:hAnsi="黑体" w:eastAsia="黑体"/>
          <w:sz w:val="32"/>
          <w:szCs w:val="32"/>
        </w:rPr>
        <w:t>,</w:t>
      </w:r>
      <w:r>
        <w:rPr>
          <w:rFonts w:hint="eastAsia" w:ascii="黑体" w:hAnsi="黑体" w:eastAsia="黑体"/>
          <w:sz w:val="32"/>
          <w:szCs w:val="32"/>
        </w:rPr>
        <w:t>经市政府批准</w:t>
      </w:r>
      <w:r>
        <w:rPr>
          <w:rFonts w:ascii="黑体" w:hAnsi="黑体" w:eastAsia="黑体"/>
          <w:sz w:val="32"/>
          <w:szCs w:val="32"/>
        </w:rPr>
        <w:t>,</w:t>
      </w:r>
      <w:r>
        <w:rPr>
          <w:rFonts w:hint="eastAsia" w:ascii="黑体" w:hAnsi="黑体" w:eastAsia="黑体"/>
          <w:sz w:val="32"/>
          <w:szCs w:val="32"/>
        </w:rPr>
        <w:t>由市级财政在一定时期安排</w:t>
      </w:r>
      <w:r>
        <w:rPr>
          <w:rFonts w:ascii="黑体" w:hAnsi="黑体" w:eastAsia="黑体"/>
          <w:sz w:val="32"/>
          <w:szCs w:val="32"/>
        </w:rPr>
        <w:t>,</w:t>
      </w:r>
      <w:r>
        <w:rPr>
          <w:rFonts w:hint="eastAsia" w:ascii="黑体" w:hAnsi="黑体" w:eastAsia="黑体"/>
          <w:sz w:val="32"/>
          <w:szCs w:val="32"/>
        </w:rPr>
        <w:t>具有专门用途的资金</w:t>
      </w:r>
      <w:r>
        <w:rPr>
          <w:rFonts w:ascii="黑体" w:hAnsi="黑体" w:eastAsia="黑体"/>
          <w:sz w:val="32"/>
          <w:szCs w:val="32"/>
        </w:rPr>
        <w:t>,</w:t>
      </w:r>
      <w:r>
        <w:rPr>
          <w:rFonts w:hint="eastAsia" w:ascii="黑体" w:hAnsi="黑体" w:eastAsia="黑体"/>
          <w:sz w:val="32"/>
          <w:szCs w:val="32"/>
        </w:rPr>
        <w:t>实行目录管理。</w:t>
      </w:r>
    </w:p>
    <w:p>
      <w:pPr>
        <w:kinsoku w:val="0"/>
        <w:overflowPunct w:val="0"/>
        <w:adjustRightInd w:val="0"/>
        <w:snapToGrid w:val="0"/>
        <w:spacing w:line="360" w:lineRule="auto"/>
        <w:ind w:right="-58" w:firstLine="640" w:firstLineChars="200"/>
        <w:jc w:val="left"/>
        <w:rPr>
          <w:rFonts w:ascii="黑体" w:hAnsi="黑体" w:eastAsia="黑体"/>
          <w:sz w:val="32"/>
          <w:szCs w:val="32"/>
        </w:rPr>
      </w:pPr>
      <w:r>
        <w:rPr>
          <w:rFonts w:hint="eastAsia" w:ascii="黑体" w:hAnsi="黑体" w:eastAsia="黑体"/>
          <w:sz w:val="32"/>
          <w:szCs w:val="32"/>
        </w:rPr>
        <w:t>投资类项目指单个项目投资额度在</w:t>
      </w:r>
      <w:r>
        <w:rPr>
          <w:rFonts w:ascii="黑体" w:hAnsi="黑体" w:eastAsia="黑体"/>
          <w:sz w:val="32"/>
          <w:szCs w:val="32"/>
        </w:rPr>
        <w:t>100</w:t>
      </w:r>
      <w:r>
        <w:rPr>
          <w:rFonts w:hint="eastAsia" w:ascii="黑体" w:hAnsi="黑体" w:eastAsia="黑体"/>
          <w:sz w:val="32"/>
          <w:szCs w:val="32"/>
        </w:rPr>
        <w:t>万元以上，纳入发改委项目储备库或年度投资计划的项目资金和土地储备项目资金</w:t>
      </w:r>
    </w:p>
    <w:p>
      <w:pPr>
        <w:kinsoku w:val="0"/>
        <w:overflowPunct w:val="0"/>
        <w:adjustRightInd w:val="0"/>
        <w:snapToGrid w:val="0"/>
        <w:spacing w:line="360" w:lineRule="auto"/>
        <w:ind w:right="-58" w:firstLine="640" w:firstLineChars="200"/>
        <w:jc w:val="left"/>
        <w:rPr>
          <w:rFonts w:ascii="黑体" w:hAnsi="黑体" w:eastAsia="黑体"/>
          <w:sz w:val="32"/>
          <w:szCs w:val="32"/>
        </w:rPr>
      </w:pPr>
      <w:r>
        <w:rPr>
          <w:rFonts w:hint="eastAsia" w:ascii="黑体" w:hAnsi="黑体" w:eastAsia="黑体"/>
          <w:sz w:val="32"/>
          <w:szCs w:val="32"/>
        </w:rPr>
        <w:t>运转类项目指预算单位为保障单位自身正常运转、开展业务工作，在基本支出之外安排的具有专门用途、单项金额较大、纳入绩效管理的项目，包括办公大楼的运行维护费用、金额较大的专项工作经费、大型维修经费等。</w:t>
      </w:r>
    </w:p>
    <w:p>
      <w:pPr>
        <w:kinsoku w:val="0"/>
        <w:overflowPunct w:val="0"/>
        <w:adjustRightInd w:val="0"/>
        <w:snapToGrid w:val="0"/>
        <w:spacing w:line="360" w:lineRule="auto"/>
        <w:ind w:right="-58" w:firstLine="640" w:firstLineChars="200"/>
        <w:jc w:val="left"/>
        <w:rPr>
          <w:rFonts w:ascii="黑体" w:hAnsi="黑体" w:eastAsia="黑体"/>
          <w:sz w:val="32"/>
          <w:szCs w:val="32"/>
        </w:rPr>
      </w:pPr>
      <w:r>
        <w:rPr>
          <w:rFonts w:hint="eastAsia" w:ascii="黑体" w:hAnsi="黑体" w:eastAsia="黑体"/>
          <w:sz w:val="32"/>
          <w:szCs w:val="32"/>
        </w:rPr>
        <w:t>其他项目指除上述三类项目外的项目支出。</w:t>
      </w:r>
    </w:p>
    <w:p>
      <w:pPr>
        <w:kinsoku w:val="0"/>
        <w:overflowPunct w:val="0"/>
        <w:adjustRightInd w:val="0"/>
        <w:snapToGrid w:val="0"/>
        <w:spacing w:line="360" w:lineRule="auto"/>
        <w:ind w:right="-58" w:firstLine="640" w:firstLineChars="200"/>
        <w:jc w:val="left"/>
        <w:rPr>
          <w:rFonts w:ascii="黑体" w:hAnsi="黑体" w:eastAsia="黑体"/>
          <w:sz w:val="32"/>
          <w:szCs w:val="32"/>
        </w:rPr>
      </w:pPr>
      <w:r>
        <w:rPr>
          <w:rFonts w:hint="eastAsia" w:ascii="黑体" w:hAnsi="黑体" w:eastAsia="黑体"/>
          <w:sz w:val="32"/>
          <w:szCs w:val="32"/>
        </w:rPr>
        <w:t>八、“三公”经费：是指纳入市级财政预算管理，部门使用一般公共预算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insoku w:val="0"/>
        <w:overflowPunct w:val="0"/>
        <w:adjustRightInd w:val="0"/>
        <w:snapToGrid w:val="0"/>
        <w:spacing w:line="360" w:lineRule="auto"/>
        <w:ind w:right="-58" w:firstLine="640" w:firstLineChars="200"/>
        <w:jc w:val="left"/>
        <w:rPr>
          <w:rFonts w:ascii="黑体" w:hAnsi="黑体" w:eastAsia="黑体"/>
          <w:sz w:val="32"/>
          <w:szCs w:val="32"/>
        </w:rPr>
      </w:pPr>
      <w:r>
        <w:rPr>
          <w:rFonts w:hint="eastAsia" w:ascii="黑体" w:hAnsi="黑体" w:eastAsia="黑体"/>
          <w:sz w:val="32"/>
          <w:szCs w:val="32"/>
        </w:rPr>
        <w:t>九、机关运行经费：是指为保障机关运行，从公用经费中安排的用于购买货物和服务的各项资金，包括办公及印刷费、邮电费、差旅费、会议费、福利费、日常维修费及一般设备购置费、办公用房水电费、办公用房取暖费、办公用房物业管理费、公务用车运行维护费以及其他费用。</w:t>
      </w:r>
    </w:p>
    <w:p>
      <w:pPr>
        <w:kinsoku w:val="0"/>
        <w:overflowPunct w:val="0"/>
        <w:adjustRightInd w:val="0"/>
        <w:snapToGrid w:val="0"/>
        <w:spacing w:line="360" w:lineRule="auto"/>
        <w:ind w:right="-58"/>
        <w:rPr>
          <w:rFonts w:ascii="黑体" w:hAnsi="Times New Roman" w:eastAsia="黑体" w:cs="黑体"/>
          <w:sz w:val="32"/>
          <w:szCs w:val="32"/>
        </w:rPr>
      </w:pPr>
      <w:r>
        <w:rPr>
          <w:rFonts w:hint="eastAsia" w:ascii="黑体" w:hAnsi="Times New Roman" w:eastAsia="黑体" w:cs="黑体"/>
          <w:sz w:val="32"/>
          <w:szCs w:val="32"/>
        </w:rPr>
        <w:t>附件：新乡市农机部门</w:t>
      </w:r>
      <w:r>
        <w:rPr>
          <w:rFonts w:ascii="黑体" w:hAnsi="Times New Roman" w:eastAsia="黑体" w:cs="黑体"/>
          <w:sz w:val="32"/>
          <w:szCs w:val="32"/>
        </w:rPr>
        <w:t>2018</w:t>
      </w:r>
      <w:r>
        <w:rPr>
          <w:rFonts w:hint="eastAsia" w:ascii="黑体" w:hAnsi="Times New Roman" w:eastAsia="黑体" w:cs="黑体"/>
          <w:sz w:val="32"/>
          <w:szCs w:val="32"/>
        </w:rPr>
        <w:t>年度部门预算表</w:t>
      </w:r>
    </w:p>
    <w:p>
      <w:pPr>
        <w:kinsoku w:val="0"/>
        <w:overflowPunct w:val="0"/>
        <w:adjustRightInd w:val="0"/>
        <w:snapToGrid w:val="0"/>
        <w:spacing w:line="360" w:lineRule="auto"/>
        <w:ind w:right="-58"/>
        <w:jc w:val="left"/>
        <w:rPr>
          <w:rFonts w:ascii="仿宋_GB2312" w:hAnsi="Times New Roman" w:eastAsia="仿宋_GB2312" w:cs="仿宋_GB2312"/>
          <w:sz w:val="32"/>
          <w:szCs w:val="32"/>
        </w:rPr>
      </w:pPr>
      <w:r>
        <w:rPr>
          <w:rFonts w:hint="eastAsia" w:ascii="仿宋_GB2312" w:hAnsi="Times New Roman" w:eastAsia="仿宋_GB2312" w:cs="仿宋_GB2312"/>
          <w:sz w:val="32"/>
          <w:szCs w:val="32"/>
        </w:rPr>
        <w:t>一、</w:t>
      </w:r>
      <w:r>
        <w:rPr>
          <w:rFonts w:hint="eastAsia" w:ascii="仿宋_GB2312" w:eastAsia="仿宋_GB2312"/>
          <w:sz w:val="32"/>
          <w:szCs w:val="32"/>
        </w:rPr>
        <w:t>部门收支总体情况表</w:t>
      </w:r>
    </w:p>
    <w:p>
      <w:pPr>
        <w:kinsoku w:val="0"/>
        <w:overflowPunct w:val="0"/>
        <w:adjustRightInd w:val="0"/>
        <w:snapToGrid w:val="0"/>
        <w:spacing w:line="360" w:lineRule="auto"/>
        <w:ind w:right="-58"/>
        <w:jc w:val="left"/>
        <w:rPr>
          <w:rFonts w:ascii="仿宋_GB2312" w:hAnsi="Times New Roman" w:eastAsia="仿宋_GB2312" w:cs="仿宋_GB2312"/>
          <w:sz w:val="32"/>
          <w:szCs w:val="32"/>
        </w:rPr>
      </w:pPr>
      <w:r>
        <w:rPr>
          <w:rFonts w:hint="eastAsia" w:ascii="仿宋_GB2312" w:hAnsi="Times New Roman" w:eastAsia="仿宋_GB2312" w:cs="仿宋_GB2312"/>
          <w:sz w:val="32"/>
          <w:szCs w:val="32"/>
        </w:rPr>
        <w:t>二、</w:t>
      </w:r>
      <w:r>
        <w:rPr>
          <w:rFonts w:hint="eastAsia" w:ascii="仿宋_GB2312" w:eastAsia="仿宋_GB2312"/>
          <w:sz w:val="32"/>
          <w:szCs w:val="32"/>
        </w:rPr>
        <w:t>部门收入总体情况表</w:t>
      </w:r>
    </w:p>
    <w:p>
      <w:pPr>
        <w:kinsoku w:val="0"/>
        <w:overflowPunct w:val="0"/>
        <w:adjustRightInd w:val="0"/>
        <w:snapToGrid w:val="0"/>
        <w:spacing w:line="360" w:lineRule="auto"/>
        <w:ind w:right="-58"/>
        <w:jc w:val="left"/>
        <w:rPr>
          <w:rFonts w:ascii="仿宋_GB2312" w:eastAsia="仿宋_GB2312"/>
          <w:sz w:val="32"/>
          <w:szCs w:val="32"/>
        </w:rPr>
      </w:pPr>
      <w:r>
        <w:rPr>
          <w:rFonts w:hint="eastAsia" w:ascii="仿宋_GB2312" w:hAnsi="Times New Roman" w:eastAsia="仿宋_GB2312" w:cs="仿宋_GB2312"/>
          <w:sz w:val="32"/>
          <w:szCs w:val="32"/>
        </w:rPr>
        <w:t>三、</w:t>
      </w:r>
      <w:r>
        <w:rPr>
          <w:rFonts w:hint="eastAsia" w:ascii="仿宋_GB2312" w:eastAsia="仿宋_GB2312"/>
          <w:sz w:val="32"/>
          <w:szCs w:val="32"/>
        </w:rPr>
        <w:t>部门支出总体情况表</w:t>
      </w:r>
    </w:p>
    <w:p>
      <w:pPr>
        <w:kinsoku w:val="0"/>
        <w:overflowPunct w:val="0"/>
        <w:adjustRightInd w:val="0"/>
        <w:snapToGrid w:val="0"/>
        <w:spacing w:line="360" w:lineRule="auto"/>
        <w:ind w:right="-58"/>
        <w:jc w:val="left"/>
        <w:rPr>
          <w:rFonts w:ascii="仿宋_GB2312" w:hAnsi="Times New Roman" w:eastAsia="仿宋_GB2312" w:cs="仿宋_GB2312"/>
          <w:sz w:val="32"/>
          <w:szCs w:val="32"/>
        </w:rPr>
      </w:pPr>
      <w:r>
        <w:rPr>
          <w:rFonts w:hint="eastAsia" w:ascii="仿宋_GB2312" w:hAnsi="Times New Roman" w:eastAsia="仿宋_GB2312" w:cs="仿宋_GB2312"/>
          <w:sz w:val="32"/>
          <w:szCs w:val="32"/>
        </w:rPr>
        <w:t>四、</w:t>
      </w:r>
      <w:r>
        <w:rPr>
          <w:rFonts w:hint="eastAsia" w:ascii="仿宋_GB2312" w:eastAsia="仿宋_GB2312"/>
          <w:sz w:val="32"/>
          <w:szCs w:val="32"/>
        </w:rPr>
        <w:t>财政拨款收支总体情况表</w:t>
      </w:r>
    </w:p>
    <w:p>
      <w:pPr>
        <w:kinsoku w:val="0"/>
        <w:overflowPunct w:val="0"/>
        <w:adjustRightInd w:val="0"/>
        <w:snapToGrid w:val="0"/>
        <w:spacing w:line="360" w:lineRule="auto"/>
        <w:ind w:right="-58"/>
        <w:jc w:val="left"/>
        <w:rPr>
          <w:rFonts w:ascii="仿宋_GB2312" w:hAnsi="Times New Roman" w:eastAsia="仿宋_GB2312" w:cs="仿宋_GB2312"/>
          <w:sz w:val="32"/>
          <w:szCs w:val="32"/>
        </w:rPr>
      </w:pPr>
      <w:r>
        <w:rPr>
          <w:rFonts w:hint="eastAsia" w:ascii="仿宋_GB2312" w:hAnsi="Times New Roman" w:eastAsia="仿宋_GB2312" w:cs="仿宋_GB2312"/>
          <w:sz w:val="32"/>
          <w:szCs w:val="32"/>
        </w:rPr>
        <w:t>五、</w:t>
      </w:r>
      <w:r>
        <w:rPr>
          <w:rFonts w:hint="eastAsia" w:ascii="仿宋_GB2312" w:eastAsia="仿宋_GB2312"/>
          <w:sz w:val="32"/>
          <w:szCs w:val="32"/>
        </w:rPr>
        <w:t>一般公共预算支出情况表</w:t>
      </w:r>
    </w:p>
    <w:p>
      <w:pPr>
        <w:kinsoku w:val="0"/>
        <w:overflowPunct w:val="0"/>
        <w:adjustRightInd w:val="0"/>
        <w:snapToGrid w:val="0"/>
        <w:spacing w:line="360" w:lineRule="auto"/>
        <w:ind w:right="-58"/>
        <w:jc w:val="left"/>
        <w:rPr>
          <w:rFonts w:ascii="仿宋_GB2312" w:eastAsia="仿宋_GB2312"/>
          <w:sz w:val="32"/>
          <w:szCs w:val="32"/>
        </w:rPr>
      </w:pPr>
      <w:r>
        <w:rPr>
          <w:rFonts w:hint="eastAsia" w:ascii="仿宋_GB2312" w:hAnsi="Times New Roman" w:eastAsia="仿宋_GB2312" w:cs="仿宋_GB2312"/>
          <w:sz w:val="32"/>
          <w:szCs w:val="32"/>
        </w:rPr>
        <w:t>六、</w:t>
      </w:r>
      <w:r>
        <w:rPr>
          <w:rFonts w:hint="eastAsia" w:ascii="仿宋_GB2312" w:eastAsia="仿宋_GB2312"/>
          <w:sz w:val="32"/>
          <w:szCs w:val="32"/>
        </w:rPr>
        <w:t>一般公共预算基本支出情况表</w:t>
      </w:r>
    </w:p>
    <w:p>
      <w:pPr>
        <w:kinsoku w:val="0"/>
        <w:overflowPunct w:val="0"/>
        <w:adjustRightInd w:val="0"/>
        <w:snapToGrid w:val="0"/>
        <w:spacing w:line="360" w:lineRule="auto"/>
        <w:ind w:right="-58"/>
        <w:jc w:val="left"/>
        <w:rPr>
          <w:rFonts w:ascii="仿宋_GB2312" w:hAnsi="Times New Roman" w:eastAsia="仿宋_GB2312" w:cs="仿宋_GB2312"/>
          <w:sz w:val="32"/>
          <w:szCs w:val="32"/>
        </w:rPr>
      </w:pPr>
      <w:r>
        <w:rPr>
          <w:rFonts w:hint="eastAsia" w:ascii="仿宋_GB2312" w:eastAsia="仿宋_GB2312"/>
          <w:sz w:val="32"/>
          <w:szCs w:val="32"/>
        </w:rPr>
        <w:t>七、一般公共预算项目支出情况表</w:t>
      </w:r>
    </w:p>
    <w:p>
      <w:pPr>
        <w:kinsoku w:val="0"/>
        <w:overflowPunct w:val="0"/>
        <w:adjustRightInd w:val="0"/>
        <w:snapToGrid w:val="0"/>
        <w:spacing w:line="360" w:lineRule="auto"/>
        <w:ind w:right="-58"/>
        <w:jc w:val="left"/>
        <w:rPr>
          <w:rFonts w:ascii="仿宋_GB2312" w:hAnsi="Times New Roman" w:eastAsia="仿宋_GB2312" w:cs="仿宋_GB2312"/>
          <w:sz w:val="32"/>
          <w:szCs w:val="32"/>
        </w:rPr>
      </w:pPr>
      <w:r>
        <w:rPr>
          <w:rFonts w:hint="eastAsia" w:ascii="仿宋_GB2312" w:hAnsi="Times New Roman" w:eastAsia="仿宋_GB2312" w:cs="仿宋_GB2312"/>
          <w:sz w:val="32"/>
          <w:szCs w:val="32"/>
        </w:rPr>
        <w:t>八、</w:t>
      </w:r>
      <w:r>
        <w:rPr>
          <w:rFonts w:hint="eastAsia" w:ascii="仿宋_GB2312" w:eastAsia="仿宋_GB2312"/>
          <w:sz w:val="32"/>
          <w:szCs w:val="32"/>
        </w:rPr>
        <w:t>一般公共预算“三公”经费支出情况表</w:t>
      </w:r>
    </w:p>
    <w:p>
      <w:pPr>
        <w:kinsoku w:val="0"/>
        <w:overflowPunct w:val="0"/>
        <w:adjustRightInd w:val="0"/>
        <w:snapToGrid w:val="0"/>
        <w:spacing w:line="360" w:lineRule="auto"/>
        <w:ind w:right="-58"/>
        <w:jc w:val="left"/>
        <w:rPr>
          <w:rFonts w:ascii="仿宋_GB2312" w:eastAsia="仿宋_GB2312"/>
          <w:sz w:val="32"/>
          <w:szCs w:val="32"/>
        </w:rPr>
      </w:pPr>
      <w:r>
        <w:rPr>
          <w:rFonts w:hint="eastAsia" w:ascii="仿宋_GB2312" w:hAnsi="Times New Roman" w:eastAsia="仿宋_GB2312" w:cs="仿宋_GB2312"/>
          <w:sz w:val="32"/>
          <w:szCs w:val="32"/>
        </w:rPr>
        <w:t>九、</w:t>
      </w:r>
      <w:r>
        <w:rPr>
          <w:rFonts w:hint="eastAsia" w:ascii="仿宋_GB2312" w:eastAsia="仿宋_GB2312"/>
          <w:sz w:val="32"/>
          <w:szCs w:val="32"/>
        </w:rPr>
        <w:t>政府性基金支出情况表</w:t>
      </w:r>
    </w:p>
    <w:p>
      <w:pPr>
        <w:kinsoku w:val="0"/>
        <w:overflowPunct w:val="0"/>
        <w:adjustRightInd w:val="0"/>
        <w:snapToGrid w:val="0"/>
        <w:spacing w:line="360" w:lineRule="auto"/>
        <w:ind w:right="-58"/>
        <w:jc w:val="left"/>
        <w:rPr>
          <w:rFonts w:ascii="仿宋_GB2312" w:eastAsia="仿宋_GB2312"/>
          <w:sz w:val="32"/>
          <w:szCs w:val="32"/>
        </w:rPr>
      </w:pPr>
      <w:r>
        <w:rPr>
          <w:rFonts w:hint="eastAsia" w:ascii="仿宋_GB2312" w:eastAsia="仿宋_GB2312"/>
          <w:sz w:val="32"/>
          <w:szCs w:val="32"/>
        </w:rPr>
        <w:t>十、机关运行经费情况表（视情况是否上报或公开）</w:t>
      </w:r>
    </w:p>
    <w:p>
      <w:pPr>
        <w:ind w:right="-58"/>
      </w:pPr>
      <w:r>
        <w:rPr>
          <w:rFonts w:hint="eastAsia" w:ascii="仿宋_GB2312" w:eastAsia="仿宋_GB2312"/>
          <w:sz w:val="32"/>
          <w:szCs w:val="32"/>
        </w:rPr>
        <w:t>十一、政府采购表（公开用）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Dotum">
    <w:panose1 w:val="020B0600000101010101"/>
    <w:charset w:val="81"/>
    <w:family w:val="auto"/>
    <w:pitch w:val="default"/>
    <w:sig w:usb0="B00002AF" w:usb1="69D77CFB" w:usb2="00000030" w:usb3="00000000" w:csb0="4008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文本框 1027" o:spid="_x0000_s2049" o:spt="202" type="#_x0000_t202" style="position:absolute;left:0pt;margin-top:0pt;height:12.05pt;width:9.05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rPr>
                    <w:rFonts w:hint="eastAsia"/>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1BE17"/>
    <w:multiLevelType w:val="singleLevel"/>
    <w:tmpl w:val="5971BE17"/>
    <w:lvl w:ilvl="0" w:tentative="0">
      <w:start w:val="1"/>
      <w:numFmt w:val="chineseCounting"/>
      <w:suff w:val="nothing"/>
      <w:lvlText w:val="%1、"/>
      <w:lvlJc w:val="left"/>
    </w:lvl>
  </w:abstractNum>
  <w:abstractNum w:abstractNumId="1">
    <w:nsid w:val="5C4AF415"/>
    <w:multiLevelType w:val="singleLevel"/>
    <w:tmpl w:val="5C4AF41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744C"/>
    <w:rsid w:val="0003462E"/>
    <w:rsid w:val="0004188F"/>
    <w:rsid w:val="00041EEB"/>
    <w:rsid w:val="000C0ADB"/>
    <w:rsid w:val="00120D89"/>
    <w:rsid w:val="001224D5"/>
    <w:rsid w:val="001E5C72"/>
    <w:rsid w:val="002C5233"/>
    <w:rsid w:val="002F3B79"/>
    <w:rsid w:val="00323B5C"/>
    <w:rsid w:val="0032435F"/>
    <w:rsid w:val="00352D4E"/>
    <w:rsid w:val="003962FF"/>
    <w:rsid w:val="00425A0D"/>
    <w:rsid w:val="00455E13"/>
    <w:rsid w:val="00474951"/>
    <w:rsid w:val="004B5EB8"/>
    <w:rsid w:val="0055679B"/>
    <w:rsid w:val="00597A56"/>
    <w:rsid w:val="006663E5"/>
    <w:rsid w:val="00666CA1"/>
    <w:rsid w:val="006A620B"/>
    <w:rsid w:val="0076073C"/>
    <w:rsid w:val="007B3199"/>
    <w:rsid w:val="007C41CA"/>
    <w:rsid w:val="007D37EE"/>
    <w:rsid w:val="007D7DFE"/>
    <w:rsid w:val="007E5179"/>
    <w:rsid w:val="0080139E"/>
    <w:rsid w:val="00827BD8"/>
    <w:rsid w:val="00962AA8"/>
    <w:rsid w:val="009C3E35"/>
    <w:rsid w:val="009C73C0"/>
    <w:rsid w:val="00AE6DC0"/>
    <w:rsid w:val="00B17FE6"/>
    <w:rsid w:val="00BB659A"/>
    <w:rsid w:val="00BC032C"/>
    <w:rsid w:val="00BC50FC"/>
    <w:rsid w:val="00D52393"/>
    <w:rsid w:val="00D6744C"/>
    <w:rsid w:val="00DA5714"/>
    <w:rsid w:val="00E065F4"/>
    <w:rsid w:val="00E25845"/>
    <w:rsid w:val="00EB0798"/>
    <w:rsid w:val="00F32A91"/>
    <w:rsid w:val="00F655A7"/>
    <w:rsid w:val="00F66716"/>
    <w:rsid w:val="00F86269"/>
    <w:rsid w:val="280D1999"/>
    <w:rsid w:val="3D4B2E78"/>
    <w:rsid w:val="44E109D9"/>
    <w:rsid w:val="5E50587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99"/>
    <w:pPr>
      <w:ind w:firstLine="420" w:firstLineChars="200"/>
    </w:pPr>
  </w:style>
  <w:style w:type="character" w:customStyle="1" w:styleId="7">
    <w:name w:val="页眉 Char"/>
    <w:basedOn w:val="4"/>
    <w:link w:val="3"/>
    <w:semiHidden/>
    <w:qFormat/>
    <w:locked/>
    <w:uiPriority w:val="99"/>
    <w:rPr>
      <w:rFonts w:ascii="Calibri" w:hAnsi="Calibri" w:eastAsia="宋体" w:cs="Times New Roman"/>
      <w:sz w:val="18"/>
      <w:szCs w:val="18"/>
    </w:rPr>
  </w:style>
  <w:style w:type="character" w:customStyle="1" w:styleId="8">
    <w:name w:val="页脚 Char"/>
    <w:basedOn w:val="4"/>
    <w:link w:val="2"/>
    <w:semiHidden/>
    <w:qFormat/>
    <w:locked/>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3143</Words>
  <Characters>412</Characters>
  <Lines>3</Lines>
  <Paragraphs>7</Paragraphs>
  <ScaleCrop>false</ScaleCrop>
  <LinksUpToDate>false</LinksUpToDate>
  <CharactersWithSpaces>3548</CharactersWithSpaces>
  <Application>WPS Office_10.1.0.6235_F1E327BC-269C-435d-A152-05C5408002CA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2017-03-08T01:41:00Z</dcterms:created>
  <dc:creator>User</dc:creator>
  <cp:lastModifiedBy>Administrator</cp:lastModifiedBy>
  <cp:lastPrinted>2018-10-18T01:01:00Z</cp:lastPrinted>
  <dcterms:modified xsi:type="dcterms:W3CDTF">2019-01-25T11:39:04Z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