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2016</w:t>
      </w:r>
      <w:r>
        <w:rPr>
          <w:rFonts w:hint="eastAsia" w:ascii="黑体" w:hAnsi="黑体" w:eastAsia="黑体" w:cs="黑体"/>
          <w:sz w:val="44"/>
          <w:szCs w:val="44"/>
        </w:rPr>
        <w:t>年度新乡市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社科联</w:t>
      </w:r>
      <w:r>
        <w:rPr>
          <w:rFonts w:hint="eastAsia" w:ascii="黑体" w:hAnsi="黑体" w:eastAsia="黑体" w:cs="黑体"/>
          <w:sz w:val="44"/>
          <w:szCs w:val="44"/>
        </w:rPr>
        <w:t>部门决算情况说明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25" w:firstLineChars="7"/>
        <w:jc w:val="center"/>
        <w:rPr>
          <w:rFonts w:ascii="黑体" w:eastAsia="黑体"/>
          <w:sz w:val="36"/>
          <w:szCs w:val="36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25" w:firstLineChars="7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目</w:t>
      </w:r>
      <w:r>
        <w:rPr>
          <w:rFonts w:ascii="黑体" w:eastAsia="黑体" w:cs="黑体"/>
          <w:spacing w:val="2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黑体" w:eastAsia="黑体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3569" w:firstLine="643" w:firstLineChars="200"/>
        <w:rPr>
          <w:rFonts w:ascii="仿宋_GB2312" w:eastAsia="仿宋_GB2312" w:cs="仿宋_GB2312"/>
          <w:b/>
          <w:bCs/>
          <w:w w:val="99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第一部分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新乡市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  <w:lang w:eastAsia="zh-CN"/>
        </w:rPr>
        <w:t>社科联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概况</w:t>
      </w:r>
      <w:r>
        <w:rPr>
          <w:rFonts w:ascii="仿宋_GB2312" w:eastAsia="仿宋_GB2312" w:cs="仿宋_GB2312"/>
          <w:b/>
          <w:bCs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84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84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二、部门决算单位构成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84" w:firstLine="960" w:firstLineChars="3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三、部门人员编制总体情况</w:t>
      </w:r>
    </w:p>
    <w:p>
      <w:pPr>
        <w:kinsoku w:val="0"/>
        <w:overflowPunct w:val="0"/>
        <w:adjustRightInd w:val="0"/>
        <w:snapToGrid w:val="0"/>
        <w:spacing w:line="360" w:lineRule="auto"/>
        <w:ind w:right="26"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第二部分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公开说明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年度部门预算执行情况说明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收入来源说明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支出功能分类科目说明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“三公”经费决算情况说明</w:t>
      </w:r>
      <w:r>
        <w:rPr>
          <w:rFonts w:ascii="仿宋_GB2312" w:eastAsia="仿宋_GB2312" w:cs="仿宋_GB2312"/>
          <w:sz w:val="32"/>
          <w:szCs w:val="32"/>
        </w:rPr>
        <w:t xml:space="preserve">  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机关运行经费支出情况</w:t>
      </w:r>
    </w:p>
    <w:p>
      <w:pPr>
        <w:pStyle w:val="4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26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政府采购支出情况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第三部分</w:t>
      </w:r>
      <w:r>
        <w:rPr>
          <w:rFonts w:ascii="仿宋_GB2312" w:eastAsia="仿宋_GB2312" w:cs="仿宋_GB2312"/>
          <w:b/>
          <w:bCs/>
          <w:spacing w:val="-3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名词解释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新乡市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社科联</w:t>
      </w:r>
      <w:r>
        <w:rPr>
          <w:rFonts w:hint="eastAsia" w:ascii="黑体" w:hAnsi="黑体" w:eastAsia="黑体" w:cs="黑体"/>
          <w:sz w:val="32"/>
          <w:szCs w:val="32"/>
        </w:rPr>
        <w:t>概况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新乡市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社科联</w:t>
      </w: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黑体"/>
          <w:sz w:val="32"/>
          <w:szCs w:val="32"/>
          <w:lang w:eastAsia="zh-CN"/>
        </w:rPr>
        <w:t>新乡市社会科学联合会机关（以下简称：新乡市社科联）主要职责是：领导和协调各个学会、研究会工作；开展社会科学知识普及工作；有领导有计划地开展学术交流活动；组织社会科学优秀成果评奖工作。</w:t>
      </w:r>
      <w:r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二、新乡市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社科联</w:t>
      </w:r>
      <w:r>
        <w:rPr>
          <w:rFonts w:hint="eastAsia" w:ascii="黑体" w:hAnsi="黑体" w:eastAsia="黑体" w:cs="黑体"/>
          <w:sz w:val="32"/>
          <w:szCs w:val="32"/>
        </w:rPr>
        <w:t>决算单位构成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新乡市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社科联</w:t>
      </w:r>
      <w:r>
        <w:rPr>
          <w:rFonts w:hint="eastAsia" w:ascii="仿宋_GB2312" w:eastAsia="仿宋_GB2312" w:cs="仿宋_GB2312"/>
          <w:spacing w:val="2"/>
          <w:kern w:val="0"/>
          <w:sz w:val="32"/>
          <w:szCs w:val="32"/>
        </w:rPr>
        <w:t>部门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决算</w:t>
      </w:r>
      <w:r>
        <w:rPr>
          <w:rFonts w:hint="eastAsia" w:ascii="仿宋_GB2312" w:eastAsia="仿宋_GB2312" w:cs="仿宋_GB2312"/>
          <w:spacing w:val="2"/>
          <w:kern w:val="0"/>
          <w:sz w:val="32"/>
          <w:szCs w:val="32"/>
        </w:rPr>
        <w:t>包括</w:t>
      </w:r>
      <w:r>
        <w:rPr>
          <w:rFonts w:hint="eastAsia" w:ascii="仿宋_GB2312" w:eastAsia="仿宋_GB2312" w:cs="仿宋_GB2312"/>
          <w:spacing w:val="2"/>
          <w:kern w:val="0"/>
          <w:sz w:val="32"/>
          <w:szCs w:val="32"/>
          <w:lang w:eastAsia="zh-CN"/>
        </w:rPr>
        <w:t>新乡市社科联</w:t>
      </w:r>
      <w:r>
        <w:rPr>
          <w:rFonts w:hint="eastAsia" w:ascii="仿宋_GB2312" w:eastAsia="仿宋_GB2312" w:cs="仿宋_GB2312"/>
          <w:spacing w:val="2"/>
          <w:kern w:val="0"/>
          <w:sz w:val="32"/>
          <w:szCs w:val="32"/>
        </w:rPr>
        <w:t>机关本级</w:t>
      </w:r>
      <w:r>
        <w:rPr>
          <w:rFonts w:hint="eastAsia" w:ascii="仿宋_GB2312" w:eastAsia="仿宋_GB2312" w:cs="仿宋_GB2312"/>
          <w:spacing w:val="-1"/>
          <w:kern w:val="0"/>
          <w:sz w:val="32"/>
          <w:szCs w:val="32"/>
        </w:rPr>
        <w:t>决算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三、部门人员编制总体情况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640" w:firstLineChars="200"/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sz w:val="32"/>
          <w:szCs w:val="32"/>
          <w:lang w:eastAsia="zh-CN"/>
        </w:rPr>
        <w:t>新乡市社科联</w:t>
      </w:r>
      <w:r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  <w:t>总编制人数8人，在职实有人数6人，其中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  <w:t>行政编制6人；离退休人员6人，其中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  <w:t>退休6人。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第二部分</w:t>
      </w:r>
    </w:p>
    <w:p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公开说明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一、年度预算执行情况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年我单位预算执行情况较好，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 w:cs="仿宋_GB2312"/>
          <w:sz w:val="32"/>
          <w:szCs w:val="32"/>
        </w:rPr>
        <w:t>能严守财经纪律，严控“三公经费”和一般性支出，科学安排项目支出，严格执行政府采购和资产购置计划，使财政资金发挥了应有的社会效益。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年度部门决算的年初结余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13.51</w:t>
      </w:r>
      <w:r>
        <w:rPr>
          <w:rFonts w:hint="eastAsia" w:ascii="仿宋_GB2312" w:eastAsia="仿宋_GB2312" w:cs="仿宋_GB2312"/>
          <w:sz w:val="32"/>
          <w:szCs w:val="32"/>
        </w:rPr>
        <w:t>万元，本年收入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109.01</w:t>
      </w:r>
      <w:r>
        <w:rPr>
          <w:rFonts w:hint="eastAsia" w:ascii="仿宋_GB2312" w:eastAsia="仿宋_GB2312" w:cs="仿宋_GB2312"/>
          <w:sz w:val="32"/>
          <w:szCs w:val="32"/>
        </w:rPr>
        <w:t>万元，本年支出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121.35</w:t>
      </w:r>
      <w:r>
        <w:rPr>
          <w:rFonts w:hint="eastAsia" w:ascii="仿宋_GB2312" w:eastAsia="仿宋_GB2312" w:cs="仿宋_GB2312"/>
          <w:sz w:val="32"/>
          <w:szCs w:val="32"/>
        </w:rPr>
        <w:t>万元，年末结转和结余</w:t>
      </w:r>
      <w:r>
        <w:rPr>
          <w:rFonts w:ascii="仿宋_GB2312" w:eastAsia="仿宋_GB2312" w:cs="仿宋_GB2312"/>
          <w:sz w:val="32"/>
          <w:szCs w:val="32"/>
        </w:rPr>
        <w:t>1.1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年度一般公共预算财政拨款年初结转和结余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13.51</w:t>
      </w:r>
      <w:r>
        <w:rPr>
          <w:rFonts w:hint="eastAsia" w:ascii="仿宋_GB2312" w:eastAsia="仿宋_GB2312" w:cs="仿宋_GB2312"/>
          <w:sz w:val="32"/>
          <w:szCs w:val="32"/>
        </w:rPr>
        <w:t>万元，本年收入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109.01</w:t>
      </w:r>
      <w:r>
        <w:rPr>
          <w:rFonts w:hint="eastAsia" w:ascii="仿宋_GB2312" w:eastAsia="仿宋_GB2312" w:cs="仿宋_GB2312"/>
          <w:sz w:val="32"/>
          <w:szCs w:val="32"/>
        </w:rPr>
        <w:t>万元，本年支出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121.35</w:t>
      </w:r>
      <w:r>
        <w:rPr>
          <w:rFonts w:hint="eastAsia" w:ascii="仿宋_GB2312" w:eastAsia="仿宋_GB2312" w:cs="仿宋_GB2312"/>
          <w:sz w:val="32"/>
          <w:szCs w:val="32"/>
        </w:rPr>
        <w:t>万元，年末结转和结余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1.17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年度政府性基金预算财政拨款年初结转和结余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万元，本年支出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未提及决算收支增减变化情况说明，是因为</w:t>
      </w:r>
      <w:r>
        <w:rPr>
          <w:rFonts w:ascii="仿宋_GB2312" w:hAnsi="宋体" w:eastAsia="仿宋_GB2312" w:cs="仿宋_GB2312"/>
          <w:sz w:val="32"/>
          <w:szCs w:val="32"/>
        </w:rPr>
        <w:t>2016</w:t>
      </w:r>
      <w:r>
        <w:rPr>
          <w:rFonts w:hint="eastAsia" w:ascii="仿宋_GB2312" w:hAnsi="宋体" w:eastAsia="仿宋_GB2312" w:cs="仿宋_GB2312"/>
          <w:sz w:val="32"/>
          <w:szCs w:val="32"/>
        </w:rPr>
        <w:t>年与</w:t>
      </w:r>
      <w:r>
        <w:rPr>
          <w:rFonts w:ascii="仿宋_GB2312" w:hAnsi="宋体" w:eastAsia="仿宋_GB2312" w:cs="仿宋_GB2312"/>
          <w:sz w:val="32"/>
          <w:szCs w:val="32"/>
        </w:rPr>
        <w:t>2015</w:t>
      </w:r>
      <w:r>
        <w:rPr>
          <w:rFonts w:hint="eastAsia" w:ascii="仿宋_GB2312" w:hAnsi="宋体" w:eastAsia="仿宋_GB2312" w:cs="仿宋_GB2312"/>
          <w:sz w:val="32"/>
          <w:szCs w:val="32"/>
        </w:rPr>
        <w:t>年决算公开的口径不一样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                         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收入来源说明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新乡市社科联部门决算本年收入为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109.01万元。其中：财政拨款收入109.01万元。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支出功能分类科目说明</w:t>
      </w:r>
    </w:p>
    <w:p>
      <w:pPr>
        <w:pStyle w:val="5"/>
        <w:numPr>
          <w:ilvl w:val="0"/>
          <w:numId w:val="0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121.35万元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92.26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万元其中：工资福利支出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对个人和家庭的补助（离退休人员工资）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38.87万元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其他资本性支出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0万元。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pStyle w:val="5"/>
        <w:numPr>
          <w:ilvl w:val="0"/>
          <w:numId w:val="3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年末结转和结余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1.17万元。</w:t>
      </w:r>
    </w:p>
    <w:p>
      <w:pPr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四、“三公”经费决算说明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540" w:firstLineChars="169"/>
        <w:jc w:val="left"/>
        <w:rPr>
          <w:rFonts w:ascii="楷体_GB2312" w:hAnsi="宋体" w:eastAsia="楷体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新乡市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社科联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年度“三公”经费支出决算为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0.01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情况如下：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</w:rPr>
        <w:t> 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　</w:t>
      </w:r>
      <w:r>
        <w:rPr>
          <w:rFonts w:asci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eastAsia="仿宋_GB2312" w:cs="仿宋_GB2312"/>
          <w:sz w:val="32"/>
          <w:szCs w:val="32"/>
        </w:rPr>
        <w:t>因公出国（境）费：指单位工作人员公务出国（境）的住宿费、旅费、伙食补助费、杂费、培训费等的支出。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年我单位无因公出国（境）团组，无因公出国（境）费支出。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</w:rPr>
        <w:t> 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asci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eastAsia="仿宋_GB2312" w:cs="仿宋_GB2312"/>
          <w:sz w:val="32"/>
          <w:szCs w:val="32"/>
        </w:rPr>
        <w:t>公务接待费主要用于接待上级、兄弟单位业务指导、考察，工作调研等公务往来支出，包括来宾食宿费等。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年，接待兄弟地市学习考察和上级单位调研检查等共支出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0.01</w:t>
      </w:r>
      <w:r>
        <w:rPr>
          <w:rFonts w:hint="eastAsia" w:ascii="仿宋_GB2312" w:eastAsia="仿宋_GB2312" w:cs="仿宋_GB2312"/>
          <w:sz w:val="32"/>
          <w:szCs w:val="32"/>
        </w:rPr>
        <w:t>万元。接待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批次、接待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人。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asci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eastAsia="仿宋_GB2312" w:cs="仿宋_GB2312"/>
          <w:sz w:val="32"/>
          <w:szCs w:val="32"/>
        </w:rPr>
        <w:t>公务用车购置及运行费包括车辆燃料费、维修费、过路过桥费、保险费、公务用车租赁等支出。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hint="eastAsia" w:ascii="仿宋_GB2312" w:eastAsia="仿宋_GB2312" w:cs="仿宋_GB2312"/>
          <w:sz w:val="32"/>
          <w:szCs w:val="32"/>
        </w:rPr>
        <w:t>年我单位未安排公务用车购置；公务用车运行维护费用于日常公务、新闻采访、监督检查、基层调研等。实际支出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 xml:space="preserve"> 2016</w:t>
      </w:r>
      <w:r>
        <w:rPr>
          <w:rFonts w:hint="eastAsia" w:ascii="仿宋_GB2312" w:eastAsia="仿宋_GB2312" w:cs="仿宋_GB2312"/>
          <w:sz w:val="32"/>
          <w:szCs w:val="32"/>
        </w:rPr>
        <w:t>年度公务用车保有量为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辆，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社科联</w:t>
      </w:r>
      <w:r>
        <w:rPr>
          <w:rFonts w:hint="eastAsia" w:ascii="仿宋_GB2312" w:eastAsia="仿宋_GB2312" w:cs="仿宋_GB2312"/>
          <w:sz w:val="32"/>
          <w:szCs w:val="32"/>
        </w:rPr>
        <w:t>机关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，但车辆处于待报废状态。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五、机关运行经费支出情况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新乡市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社科联</w:t>
      </w:r>
      <w:r>
        <w:rPr>
          <w:rFonts w:hint="eastAsia" w:ascii="仿宋_GB2312" w:hAnsi="宋体" w:eastAsia="仿宋_GB2312" w:cs="仿宋_GB2312"/>
          <w:sz w:val="32"/>
          <w:szCs w:val="32"/>
        </w:rPr>
        <w:t>运行经费支出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10.8</w:t>
      </w:r>
      <w:r>
        <w:rPr>
          <w:rFonts w:hint="eastAsia" w:ascii="仿宋_GB2312" w:hAnsi="宋体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主要保障机构正常运转及正常履职需要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政府采购支出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2016年社科联无</w:t>
      </w:r>
      <w:r>
        <w:rPr>
          <w:rFonts w:hint="eastAsia" w:ascii="仿宋_GB2312" w:eastAsia="仿宋_GB2312" w:cs="仿宋_GB2312"/>
          <w:sz w:val="32"/>
          <w:szCs w:val="32"/>
        </w:rPr>
        <w:t>政府采购支出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第三部分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名词解释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一、财政拨款：是指市级财政当年拨付的纳入一般公共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预算和政府性基金预算管理的资金。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二、单位其他收入：指未纳入一般公共预算、政府性基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金预算、财政专户管理，不缴入国库、财政专户的单位事业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收入、经营收入和其他收入。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三、基本支出：是指为保障机构正常运转、完成日常工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作任务所必需的、不能纳入项目绩效管理的开支。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四、项目支出：是指在基本支出之外，为完成特定的行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政工作任务或事业发展目标所发生的能够纳入项目绩效管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理的支出。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“三公”经费：是指纳入市级财政预算管理，部门使用一般公共预算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宋体" w:eastAsia="仿宋_GB2312" w:cs="仿宋_GB2312"/>
          <w:sz w:val="32"/>
          <w:szCs w:val="32"/>
        </w:rPr>
        <w:t>机关运行经费：是指为保障机关运行，从公用经费中安排的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</w:p>
    <w:p>
      <w:pPr>
        <w:pStyle w:val="5"/>
        <w:numPr>
          <w:ilvl w:val="0"/>
          <w:numId w:val="0"/>
        </w:numPr>
        <w:spacing w:before="0" w:beforeLines="0" w:beforeAutospacing="0" w:after="0" w:afterLines="0" w:afterAutospacing="0" w:line="64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FangSong_GB2312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EBB"/>
    <w:multiLevelType w:val="multilevel"/>
    <w:tmpl w:val="06744EBB"/>
    <w:lvl w:ilvl="0" w:tentative="0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5A057BD7"/>
    <w:multiLevelType w:val="singleLevel"/>
    <w:tmpl w:val="5A057BD7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05810D"/>
    <w:multiLevelType w:val="singleLevel"/>
    <w:tmpl w:val="5A0581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17538"/>
    <w:rsid w:val="08117538"/>
    <w:rsid w:val="0D5E47BF"/>
    <w:rsid w:val="0E27080B"/>
    <w:rsid w:val="49615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2017-11-10T10:24:00Z</dcterms:created>
  <dc:creator>Administrator</dc:creator>
  <cp:lastModifiedBy>Administrator</cp:lastModifiedBy>
  <dcterms:modified xsi:type="dcterms:W3CDTF">2017-11-10T11:10:01Z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