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3557B">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《新乡市雷电灾害防御管理办法</w:t>
      </w:r>
    </w:p>
    <w:p w14:paraId="138F3D6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草案征求意见稿</w:t>
      </w:r>
      <w:r>
        <w:rPr>
          <w:rFonts w:hint="eastAsia" w:ascii="方正小标宋简体" w:hAnsi="方正小标宋简体" w:eastAsia="方正小标宋简体" w:cs="方正小标宋简体"/>
          <w:sz w:val="44"/>
          <w:szCs w:val="44"/>
        </w:rPr>
        <w:t>）》</w:t>
      </w:r>
    </w:p>
    <w:p w14:paraId="6ED5656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cs="方正小标宋简体"/>
          <w:sz w:val="44"/>
          <w:szCs w:val="44"/>
        </w:rPr>
      </w:pPr>
    </w:p>
    <w:p w14:paraId="5034D6B2">
      <w:pPr>
        <w:keepNext w:val="0"/>
        <w:keepLines w:val="0"/>
        <w:pageBreakBefore w:val="0"/>
        <w:kinsoku/>
        <w:overflowPunct/>
        <w:topLinePunct w:val="0"/>
        <w:bidi w:val="0"/>
        <w:snapToGrid/>
        <w:spacing w:line="560" w:lineRule="exact"/>
        <w:jc w:val="center"/>
        <w:rPr>
          <w:rFonts w:ascii="黑体" w:hAnsi="黑体" w:eastAsia="黑体" w:cs="黑体"/>
          <w:sz w:val="32"/>
          <w:szCs w:val="32"/>
        </w:rPr>
      </w:pPr>
      <w:r>
        <w:rPr>
          <w:rFonts w:hint="eastAsia" w:ascii="黑体" w:hAnsi="黑体" w:eastAsia="黑体" w:cs="黑体"/>
          <w:sz w:val="32"/>
          <w:szCs w:val="32"/>
        </w:rPr>
        <w:t>第一章 总则</w:t>
      </w:r>
    </w:p>
    <w:p w14:paraId="437E7666">
      <w:pPr>
        <w:keepNext w:val="0"/>
        <w:keepLines w:val="0"/>
        <w:pageBreakBefore w:val="0"/>
        <w:kinsoku/>
        <w:overflowPunct/>
        <w:topLinePunct w:val="0"/>
        <w:bidi w:val="0"/>
        <w:snapToGrid/>
        <w:spacing w:line="560" w:lineRule="exact"/>
        <w:ind w:firstLine="643" w:firstLineChars="200"/>
        <w:rPr>
          <w:sz w:val="44"/>
          <w:szCs w:val="44"/>
        </w:rPr>
      </w:pPr>
      <w:r>
        <w:rPr>
          <w:rFonts w:hint="eastAsia" w:ascii="仿宋_GB2312" w:hAnsi="仿宋_GB2312" w:eastAsia="仿宋_GB2312" w:cs="仿宋_GB2312"/>
          <w:b/>
          <w:bCs/>
          <w:sz w:val="32"/>
          <w:szCs w:val="32"/>
        </w:rPr>
        <w:t>第一条【目的依据】</w:t>
      </w:r>
      <w:r>
        <w:rPr>
          <w:rFonts w:hint="eastAsia" w:ascii="仿宋_GB2312" w:hAnsi="仿宋_GB2312" w:eastAsia="仿宋_GB2312" w:cs="仿宋_GB2312"/>
          <w:sz w:val="32"/>
          <w:szCs w:val="32"/>
        </w:rPr>
        <w:t>为了加强雷电灾害防御工作，避免、减轻雷电灾害造成的损失，保护人民生命财产安全，促进经济建设和社会发展，依据《中华人民共和国气象法》《气象灾害防御条例》《河南省气象灾害防御条例》等有关法律法规，结合本市实际，制定本办法。</w:t>
      </w:r>
    </w:p>
    <w:p w14:paraId="04A4A222">
      <w:pPr>
        <w:keepNext w:val="0"/>
        <w:keepLines w:val="0"/>
        <w:pageBreakBefore w:val="0"/>
        <w:kinsoku/>
        <w:overflowPunct/>
        <w:topLinePunct w:val="0"/>
        <w:bidi w:val="0"/>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第二条【适用范围】 </w:t>
      </w:r>
      <w:r>
        <w:rPr>
          <w:rFonts w:hint="eastAsia" w:ascii="仿宋_GB2312" w:hAnsi="仿宋_GB2312" w:eastAsia="仿宋_GB2312" w:cs="仿宋_GB2312"/>
          <w:sz w:val="32"/>
          <w:szCs w:val="32"/>
        </w:rPr>
        <w:t>本市行政区域内从事雷电灾害防御活动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适用本办法。</w:t>
      </w:r>
    </w:p>
    <w:p w14:paraId="690D455F">
      <w:pPr>
        <w:pStyle w:val="5"/>
        <w:keepNext w:val="0"/>
        <w:keepLines w:val="0"/>
        <w:pageBreakBefore w:val="0"/>
        <w:kinsoku/>
        <w:overflowPunct/>
        <w:topLinePunct w:val="0"/>
        <w:bidi w:val="0"/>
        <w:snapToGrid/>
        <w:spacing w:before="0" w:beforeAutospacing="0" w:after="0" w:afterAutospacing="0" w:line="560" w:lineRule="exact"/>
        <w:ind w:firstLine="643" w:firstLineChars="200"/>
        <w:rPr>
          <w:rFonts w:ascii="仿宋_GB2312" w:hAnsi="仿宋_GB2312" w:eastAsia="仿宋_GB2312" w:cs="仿宋_GB2312"/>
          <w:color w:val="0000FF"/>
          <w:sz w:val="32"/>
          <w:szCs w:val="32"/>
        </w:rPr>
      </w:pPr>
      <w:r>
        <w:rPr>
          <w:rFonts w:hint="eastAsia" w:ascii="仿宋_GB2312" w:hAnsi="仿宋_GB2312" w:eastAsia="仿宋_GB2312" w:cs="仿宋_GB2312"/>
          <w:b/>
          <w:bCs/>
          <w:sz w:val="32"/>
          <w:szCs w:val="32"/>
        </w:rPr>
        <w:t xml:space="preserve">第三条【工作原则】 </w:t>
      </w:r>
      <w:r>
        <w:rPr>
          <w:rFonts w:hint="eastAsia" w:ascii="仿宋_GB2312" w:hAnsi="仿宋_GB2312" w:eastAsia="仿宋_GB2312" w:cs="仿宋_GB2312"/>
          <w:color w:val="000000"/>
          <w:sz w:val="32"/>
          <w:szCs w:val="32"/>
        </w:rPr>
        <w:t>雷电灾害防御遵循以人为本、科学防御、预防为主、防治结合的基本原则，实行政府主导、部门联动、分级负责、社会参与的工作机制。</w:t>
      </w:r>
    </w:p>
    <w:p w14:paraId="69F93A7C">
      <w:pPr>
        <w:keepNext w:val="0"/>
        <w:keepLines w:val="0"/>
        <w:pageBreakBefore w:val="0"/>
        <w:kinsoku/>
        <w:overflowPunct/>
        <w:topLinePunct w:val="0"/>
        <w:bidi w:val="0"/>
        <w:snapToGrid/>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第四条【政府职责】 </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人民政府应当加强对雷电灾害防御工作的组织、领导和协调，将雷电灾害防御工作纳入本级国民经济和社会发展规划、公共安全和应急管理体系，</w:t>
      </w:r>
      <w:r>
        <w:rPr>
          <w:rFonts w:hint="eastAsia" w:ascii="仿宋_GB2312" w:hAnsi="仿宋_GB2312" w:eastAsia="仿宋_GB2312" w:cs="仿宋_GB2312"/>
          <w:sz w:val="32"/>
          <w:szCs w:val="32"/>
          <w:lang w:eastAsia="zh-CN"/>
        </w:rPr>
        <w:t>加强农村地区雷电灾害防御工作，</w:t>
      </w:r>
      <w:r>
        <w:rPr>
          <w:rFonts w:hint="eastAsia" w:ascii="仿宋_GB2312" w:hAnsi="仿宋_GB2312" w:eastAsia="仿宋_GB2312" w:cs="仿宋_GB2312"/>
          <w:sz w:val="32"/>
          <w:szCs w:val="32"/>
        </w:rPr>
        <w:t>提高雷电灾害防御能力，所需经</w:t>
      </w:r>
      <w:bookmarkStart w:id="0" w:name="_GoBack"/>
      <w:bookmarkEnd w:id="0"/>
      <w:r>
        <w:rPr>
          <w:rFonts w:hint="eastAsia" w:ascii="仿宋_GB2312" w:hAnsi="仿宋_GB2312" w:eastAsia="仿宋_GB2312" w:cs="仿宋_GB2312"/>
          <w:sz w:val="32"/>
          <w:szCs w:val="32"/>
        </w:rPr>
        <w:t>费列入同级财政预算。</w:t>
      </w:r>
    </w:p>
    <w:p w14:paraId="792C7E7A">
      <w:pPr>
        <w:keepNext w:val="0"/>
        <w:keepLines w:val="0"/>
        <w:pageBreakBefore w:val="0"/>
        <w:kinsoku/>
        <w:overflowPunct/>
        <w:topLinePunct w:val="0"/>
        <w:bidi w:val="0"/>
        <w:snapToGrid/>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乡镇人民政府、街道办事处应当协助气象主管机构以及有关部门开展雷电灾害防御工作。</w:t>
      </w:r>
    </w:p>
    <w:p w14:paraId="1908C771">
      <w:pPr>
        <w:keepNext w:val="0"/>
        <w:keepLines w:val="0"/>
        <w:pageBreakBefore w:val="0"/>
        <w:kinsoku/>
        <w:overflowPunct/>
        <w:topLinePunct w:val="0"/>
        <w:bidi w:val="0"/>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第五条【政府协同】 </w:t>
      </w:r>
      <w:r>
        <w:rPr>
          <w:rFonts w:hint="eastAsia" w:ascii="仿宋_GB2312" w:hAnsi="仿宋_GB2312" w:eastAsia="仿宋_GB2312" w:cs="仿宋_GB2312"/>
          <w:sz w:val="32"/>
          <w:szCs w:val="32"/>
          <w:lang w:eastAsia="zh-CN"/>
        </w:rPr>
        <w:t>按照共商共联共享共融共防的原则，市人民政府应当推动与</w:t>
      </w:r>
      <w:r>
        <w:rPr>
          <w:rFonts w:hint="eastAsia" w:ascii="仿宋_GB2312" w:hAnsi="仿宋_GB2312" w:eastAsia="仿宋_GB2312" w:cs="仿宋_GB2312"/>
          <w:sz w:val="32"/>
          <w:szCs w:val="32"/>
        </w:rPr>
        <w:t>鹤壁、焦作市人民政府共同建立雷电灾害防御</w:t>
      </w:r>
      <w:r>
        <w:rPr>
          <w:rFonts w:hint="eastAsia" w:ascii="仿宋_GB2312" w:hAnsi="仿宋_GB2312" w:eastAsia="仿宋_GB2312" w:cs="仿宋_GB2312"/>
          <w:sz w:val="32"/>
          <w:szCs w:val="32"/>
          <w:lang w:eastAsia="zh-CN"/>
        </w:rPr>
        <w:t>协作</w:t>
      </w:r>
      <w:r>
        <w:rPr>
          <w:rFonts w:hint="eastAsia" w:ascii="仿宋_GB2312" w:hAnsi="仿宋_GB2312" w:eastAsia="仿宋_GB2312" w:cs="仿宋_GB2312"/>
          <w:sz w:val="32"/>
          <w:szCs w:val="32"/>
        </w:rPr>
        <w:t>机制，</w:t>
      </w:r>
      <w:r>
        <w:rPr>
          <w:rFonts w:hint="eastAsia" w:ascii="仿宋_GB2312" w:hAnsi="仿宋_GB2312" w:eastAsia="仿宋_GB2312" w:cs="仿宋_GB2312"/>
          <w:sz w:val="32"/>
          <w:szCs w:val="32"/>
          <w:lang w:eastAsia="zh-CN"/>
        </w:rPr>
        <w:t>提升三市边际地区</w:t>
      </w:r>
      <w:r>
        <w:rPr>
          <w:rFonts w:hint="eastAsia" w:ascii="仿宋_GB2312" w:hAnsi="仿宋_GB2312" w:eastAsia="仿宋_GB2312" w:cs="仿宋_GB2312"/>
          <w:sz w:val="32"/>
          <w:szCs w:val="32"/>
        </w:rPr>
        <w:t>雷电灾害防御</w:t>
      </w:r>
      <w:r>
        <w:rPr>
          <w:rFonts w:hint="eastAsia" w:ascii="仿宋_GB2312" w:hAnsi="仿宋_GB2312" w:eastAsia="仿宋_GB2312" w:cs="仿宋_GB2312"/>
          <w:sz w:val="32"/>
          <w:szCs w:val="32"/>
          <w:lang w:eastAsia="zh-CN"/>
        </w:rPr>
        <w:t>综合能力</w:t>
      </w:r>
      <w:r>
        <w:rPr>
          <w:rFonts w:hint="eastAsia" w:ascii="仿宋_GB2312" w:hAnsi="仿宋_GB2312" w:eastAsia="仿宋_GB2312" w:cs="仿宋_GB2312"/>
          <w:sz w:val="32"/>
          <w:szCs w:val="32"/>
        </w:rPr>
        <w:t>。</w:t>
      </w:r>
    </w:p>
    <w:p w14:paraId="2961A372">
      <w:pPr>
        <w:keepNext w:val="0"/>
        <w:keepLines w:val="0"/>
        <w:pageBreakBefore w:val="0"/>
        <w:kinsoku/>
        <w:overflowPunct/>
        <w:topLinePunct w:val="0"/>
        <w:bidi w:val="0"/>
        <w:snapToGrid/>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 xml:space="preserve">第六条【部门职责】 </w:t>
      </w:r>
      <w:r>
        <w:rPr>
          <w:rFonts w:hint="eastAsia" w:ascii="仿宋_GB2312" w:hAnsi="仿宋_GB2312" w:eastAsia="仿宋_GB2312" w:cs="仿宋_GB2312"/>
          <w:sz w:val="32"/>
          <w:szCs w:val="32"/>
        </w:rPr>
        <w:t>市气象主管机构负责组织管理</w:t>
      </w:r>
      <w:r>
        <w:rPr>
          <w:rFonts w:hint="eastAsia" w:ascii="仿宋_GB2312" w:hAnsi="仿宋_GB2312" w:eastAsia="仿宋_GB2312" w:cs="仿宋_GB2312"/>
          <w:sz w:val="32"/>
          <w:szCs w:val="32"/>
          <w:lang w:eastAsia="zh-CN"/>
        </w:rPr>
        <w:t>和指导监督全市的</w:t>
      </w:r>
      <w:r>
        <w:rPr>
          <w:rFonts w:hint="eastAsia" w:ascii="仿宋_GB2312" w:hAnsi="仿宋_GB2312" w:eastAsia="仿宋_GB2312" w:cs="仿宋_GB2312"/>
          <w:sz w:val="32"/>
          <w:szCs w:val="32"/>
        </w:rPr>
        <w:t>雷电灾害防御工作</w:t>
      </w:r>
      <w:r>
        <w:rPr>
          <w:rFonts w:hint="eastAsia" w:ascii="仿宋_GB2312" w:hAnsi="仿宋_GB2312" w:eastAsia="仿宋_GB2312" w:cs="仿宋_GB2312"/>
          <w:sz w:val="32"/>
          <w:szCs w:val="32"/>
          <w:lang w:eastAsia="zh-CN"/>
        </w:rPr>
        <w:t>。</w:t>
      </w:r>
    </w:p>
    <w:p w14:paraId="5109CBD4">
      <w:pPr>
        <w:keepNext w:val="0"/>
        <w:keepLines w:val="0"/>
        <w:pageBreakBefore w:val="0"/>
        <w:kinsoku/>
        <w:overflowPunct/>
        <w:topLinePunct w:val="0"/>
        <w:bidi w:val="0"/>
        <w:snapToGrid/>
        <w:spacing w:line="560" w:lineRule="exact"/>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气象主管机构</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lang w:eastAsia="zh-CN"/>
        </w:rPr>
        <w:t>管理本行政区域内的雷电灾害防御工作，组织开展本行政区域内雷电监测、预警预报、雷电灾害风险评估、雷电灾害调查鉴定和雷电防护装置监测的监督管理等工作，并会同有关部门指导本行政区域内的</w:t>
      </w:r>
      <w:r>
        <w:rPr>
          <w:rFonts w:hint="eastAsia" w:ascii="仿宋_GB2312" w:hAnsi="仿宋_GB2312" w:eastAsia="仿宋_GB2312" w:cs="仿宋_GB2312"/>
          <w:sz w:val="32"/>
          <w:szCs w:val="32"/>
        </w:rPr>
        <w:t>雷电灾害防御工作</w:t>
      </w:r>
      <w:r>
        <w:rPr>
          <w:rFonts w:hint="eastAsia" w:ascii="仿宋_GB2312" w:hAnsi="仿宋_GB2312" w:eastAsia="仿宋_GB2312" w:cs="仿宋_GB2312"/>
          <w:color w:val="000000"/>
          <w:kern w:val="0"/>
          <w:sz w:val="32"/>
          <w:szCs w:val="32"/>
        </w:rPr>
        <w:t>。</w:t>
      </w:r>
    </w:p>
    <w:p w14:paraId="46539CEF">
      <w:pPr>
        <w:keepNext w:val="0"/>
        <w:keepLines w:val="0"/>
        <w:pageBreakBefore w:val="0"/>
        <w:kinsoku/>
        <w:overflowPunct/>
        <w:topLinePunct w:val="0"/>
        <w:bidi w:val="0"/>
        <w:snapToGrid/>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eastAsia="zh-CN"/>
        </w:rPr>
        <w:t>发展和改革、应急管理、住房和城乡建设、文化广电旅游、市场监管、交通</w:t>
      </w:r>
      <w:r>
        <w:rPr>
          <w:rFonts w:hint="eastAsia" w:ascii="仿宋_GB2312" w:hAnsi="仿宋_GB2312" w:eastAsia="仿宋_GB2312" w:cs="仿宋_GB2312"/>
          <w:kern w:val="0"/>
          <w:sz w:val="32"/>
          <w:szCs w:val="32"/>
        </w:rPr>
        <w:t>运输、工业和信息化、卫生健康、城市管理、农业农村、教育、体育、林业、水利、商务、电力、通信等部门应当按照职责做好雷电灾害防御相关工作。</w:t>
      </w:r>
      <w:r>
        <w:rPr>
          <w:rFonts w:hint="eastAsia" w:ascii="仿宋_GB2312" w:hAnsi="仿宋_GB2312" w:eastAsia="仿宋_GB2312" w:cs="仿宋_GB2312"/>
          <w:color w:val="000000"/>
          <w:kern w:val="0"/>
          <w:sz w:val="32"/>
          <w:szCs w:val="32"/>
        </w:rPr>
        <w:t xml:space="preserve"> </w:t>
      </w:r>
    </w:p>
    <w:p w14:paraId="160F7925">
      <w:pPr>
        <w:keepNext w:val="0"/>
        <w:keepLines w:val="0"/>
        <w:pageBreakBefore w:val="0"/>
        <w:kinsoku/>
        <w:overflowPunct/>
        <w:topLinePunct w:val="0"/>
        <w:bidi w:val="0"/>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第七条【科普宣传】 </w:t>
      </w:r>
      <w:r>
        <w:rPr>
          <w:rFonts w:hint="eastAsia" w:ascii="仿宋_GB2312" w:hAnsi="仿宋_GB2312" w:eastAsia="仿宋_GB2312" w:cs="仿宋_GB2312"/>
          <w:sz w:val="32"/>
          <w:szCs w:val="32"/>
        </w:rPr>
        <w:t>市、县（区）人民政府及其有关部门应当向社会宣传普及雷电灾害防御科普知识，增强全社会的雷电灾害防御意识，提高公众应急避险和自救互救能力。</w:t>
      </w:r>
    </w:p>
    <w:p w14:paraId="7E7462D1">
      <w:pPr>
        <w:keepNext w:val="0"/>
        <w:keepLines w:val="0"/>
        <w:pageBreakBefore w:val="0"/>
        <w:kinsoku/>
        <w:overflowPunct/>
        <w:topLinePunct w:val="0"/>
        <w:bidi w:val="0"/>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乡镇人民政府、街道办事处、企事业单位应当配合做好雷电灾害防御宣传教育工作。</w:t>
      </w:r>
    </w:p>
    <w:p w14:paraId="6EF7F6A9">
      <w:pPr>
        <w:keepNext w:val="0"/>
        <w:keepLines w:val="0"/>
        <w:pageBreakBefore w:val="0"/>
        <w:kinsoku/>
        <w:overflowPunct/>
        <w:topLinePunct w:val="0"/>
        <w:bidi w:val="0"/>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市教育行政部门应当督促学校将雷电灾害防御知识纳入有关课程或者课外教育内容，培养和提高学生的雷电灾害防御意识和自救互救能力。</w:t>
      </w:r>
    </w:p>
    <w:p w14:paraId="1E2FC5D7">
      <w:pPr>
        <w:keepNext w:val="0"/>
        <w:keepLines w:val="0"/>
        <w:pageBreakBefore w:val="0"/>
        <w:kinsoku/>
        <w:overflowPunct/>
        <w:topLinePunct w:val="0"/>
        <w:bidi w:val="0"/>
        <w:snapToGrid/>
        <w:spacing w:line="560" w:lineRule="exact"/>
        <w:ind w:firstLine="643" w:firstLineChars="200"/>
        <w:rPr>
          <w:rFonts w:ascii="Times New Roman" w:hAnsi="Times New Roman" w:eastAsia="仿宋_GB2312" w:cs="仿宋_GB2312"/>
          <w:sz w:val="32"/>
          <w:szCs w:val="32"/>
        </w:rPr>
      </w:pPr>
      <w:r>
        <w:rPr>
          <w:rFonts w:hint="eastAsia" w:ascii="仿宋_GB2312" w:hAnsi="仿宋_GB2312" w:eastAsia="仿宋_GB2312" w:cs="仿宋_GB2312"/>
          <w:b/>
          <w:bCs/>
          <w:color w:val="000000"/>
          <w:kern w:val="0"/>
          <w:sz w:val="32"/>
          <w:szCs w:val="32"/>
        </w:rPr>
        <w:t xml:space="preserve">第八条【新技术应用】 </w:t>
      </w:r>
      <w:r>
        <w:rPr>
          <w:rFonts w:hint="eastAsia" w:ascii="Times New Roman" w:hAnsi="Times New Roman" w:eastAsia="仿宋_GB2312" w:cs="仿宋_GB2312"/>
          <w:sz w:val="32"/>
          <w:szCs w:val="32"/>
        </w:rPr>
        <w:t>鼓励和支持雷电灾害防御的科学技术研究和开发，推广应用雷电灾害防御科研成果。</w:t>
      </w:r>
    </w:p>
    <w:p w14:paraId="11800FA8">
      <w:pPr>
        <w:keepNext w:val="0"/>
        <w:keepLines w:val="0"/>
        <w:pageBreakBefore w:val="0"/>
        <w:kinsoku/>
        <w:overflowPunct/>
        <w:topLinePunct w:val="0"/>
        <w:bidi w:val="0"/>
        <w:snapToGrid/>
        <w:spacing w:line="560" w:lineRule="exact"/>
        <w:ind w:firstLine="643" w:firstLineChars="200"/>
        <w:rPr>
          <w:rFonts w:ascii="Times New Roman" w:hAnsi="Times New Roman" w:eastAsia="仿宋_GB2312" w:cs="仿宋_GB2312"/>
          <w:color w:val="000000"/>
          <w:sz w:val="32"/>
          <w:szCs w:val="32"/>
        </w:rPr>
      </w:pPr>
      <w:r>
        <w:rPr>
          <w:rFonts w:hint="eastAsia" w:ascii="仿宋_GB2312" w:hAnsi="仿宋_GB2312" w:eastAsia="仿宋_GB2312" w:cs="仿宋_GB2312"/>
          <w:b/>
          <w:bCs/>
          <w:color w:val="000000"/>
          <w:kern w:val="0"/>
          <w:sz w:val="32"/>
          <w:szCs w:val="32"/>
        </w:rPr>
        <w:t>第九条【公众参与】</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color w:val="000000"/>
          <w:sz w:val="32"/>
          <w:szCs w:val="32"/>
        </w:rPr>
        <w:t>公民、法人和其他组织应当依法配合并参与雷电灾害防御活动，根据雷电灾害相关预警信息和实际情况，及时做好应急准备，按照防御指引或者标准规范采取相应的应急措施，依法服从有关部门的应急指挥，开展自救互救。</w:t>
      </w:r>
    </w:p>
    <w:p w14:paraId="3B3E4F8B">
      <w:pPr>
        <w:keepNext w:val="0"/>
        <w:keepLines w:val="0"/>
        <w:pageBreakBefore w:val="0"/>
        <w:kinsoku/>
        <w:overflowPunct/>
        <w:topLinePunct w:val="0"/>
        <w:bidi w:val="0"/>
        <w:snapToGrid/>
        <w:spacing w:before="312" w:beforeLines="100" w:line="560" w:lineRule="exact"/>
        <w:jc w:val="center"/>
        <w:rPr>
          <w:b/>
          <w:bCs/>
          <w:sz w:val="44"/>
          <w:szCs w:val="44"/>
        </w:rPr>
      </w:pPr>
      <w:r>
        <w:rPr>
          <w:rFonts w:hint="eastAsia" w:ascii="黑体" w:hAnsi="黑体" w:eastAsia="黑体" w:cs="黑体"/>
          <w:sz w:val="32"/>
          <w:szCs w:val="32"/>
        </w:rPr>
        <w:t>第二章 灾害预防</w:t>
      </w:r>
    </w:p>
    <w:p w14:paraId="22AB48F5">
      <w:pPr>
        <w:keepNext w:val="0"/>
        <w:keepLines w:val="0"/>
        <w:pageBreakBefore w:val="0"/>
        <w:kinsoku/>
        <w:overflowPunct/>
        <w:topLinePunct w:val="0"/>
        <w:bidi w:val="0"/>
        <w:snapToGrid/>
        <w:spacing w:line="560" w:lineRule="exact"/>
        <w:ind w:firstLine="643" w:firstLineChars="200"/>
        <w:rPr>
          <w:rFonts w:eastAsia="仿宋_GB2312"/>
          <w:color w:val="000000"/>
          <w:kern w:val="0"/>
          <w:sz w:val="32"/>
          <w:szCs w:val="32"/>
        </w:rPr>
      </w:pPr>
      <w:r>
        <w:rPr>
          <w:rFonts w:hint="eastAsia" w:ascii="仿宋_GB2312" w:hAnsi="仿宋_GB2312" w:eastAsia="仿宋_GB2312" w:cs="仿宋_GB2312"/>
          <w:b/>
          <w:bCs/>
          <w:color w:val="000000"/>
          <w:kern w:val="0"/>
          <w:sz w:val="32"/>
          <w:szCs w:val="32"/>
        </w:rPr>
        <w:t>第十条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雷灾区划</w:t>
      </w:r>
      <w:r>
        <w:rPr>
          <w:rFonts w:hint="eastAsia" w:ascii="仿宋_GB2312" w:hAnsi="仿宋_GB2312" w:eastAsia="仿宋_GB2312" w:cs="仿宋_GB2312"/>
          <w:color w:val="000000"/>
          <w:kern w:val="0"/>
          <w:sz w:val="32"/>
          <w:szCs w:val="32"/>
        </w:rPr>
        <w:t>】</w:t>
      </w:r>
      <w:r>
        <w:rPr>
          <w:rFonts w:hint="eastAsia" w:ascii="Times New Roman" w:hAnsi="Times New Roman" w:eastAsia="黑体" w:cs="Times New Roman"/>
          <w:color w:val="000000"/>
          <w:kern w:val="0"/>
          <w:sz w:val="32"/>
          <w:szCs w:val="32"/>
        </w:rPr>
        <w:t xml:space="preserve"> </w:t>
      </w:r>
      <w:r>
        <w:rPr>
          <w:rFonts w:hint="eastAsia" w:eastAsia="仿宋_GB2312"/>
          <w:color w:val="000000"/>
          <w:kern w:val="0"/>
          <w:sz w:val="32"/>
          <w:szCs w:val="32"/>
        </w:rPr>
        <w:t>市、县</w:t>
      </w:r>
      <w:r>
        <w:rPr>
          <w:rFonts w:hint="eastAsia" w:eastAsia="仿宋_GB2312"/>
          <w:color w:val="000000"/>
          <w:kern w:val="0"/>
          <w:sz w:val="32"/>
          <w:szCs w:val="32"/>
          <w:lang w:eastAsia="zh-CN"/>
        </w:rPr>
        <w:t>（市）</w:t>
      </w:r>
      <w:r>
        <w:rPr>
          <w:rFonts w:hint="eastAsia" w:eastAsia="仿宋_GB2312"/>
          <w:color w:val="000000"/>
          <w:kern w:val="0"/>
          <w:sz w:val="32"/>
          <w:szCs w:val="32"/>
        </w:rPr>
        <w:t>人民政府应当组织气象主管机构</w:t>
      </w:r>
      <w:r>
        <w:rPr>
          <w:rFonts w:eastAsia="仿宋_GB2312"/>
          <w:color w:val="000000"/>
          <w:kern w:val="0"/>
          <w:sz w:val="32"/>
          <w:szCs w:val="32"/>
        </w:rPr>
        <w:t>划定雷电易发区域及其防范等级，制定防范指引，并向社会公布。</w:t>
      </w:r>
    </w:p>
    <w:p w14:paraId="19F23B7F">
      <w:pPr>
        <w:pStyle w:val="10"/>
        <w:keepNext w:val="0"/>
        <w:keepLines w:val="0"/>
        <w:pageBreakBefore w:val="0"/>
        <w:kinsoku/>
        <w:overflowPunct/>
        <w:topLinePunct w:val="0"/>
        <w:bidi w:val="0"/>
        <w:snapToGrid/>
        <w:spacing w:before="0" w:beforeAutospacing="0" w:after="0" w:afterAutospacing="0" w:line="560" w:lineRule="exact"/>
        <w:ind w:firstLine="643" w:firstLineChars="200"/>
        <w:jc w:val="both"/>
        <w:rPr>
          <w:rFonts w:hint="eastAsia" w:eastAsia="仿宋_GB2312" w:asciiTheme="minorHAnsi" w:hAnsiTheme="minorHAnsi" w:cstheme="minorBidi"/>
          <w:color w:val="000000"/>
          <w:kern w:val="0"/>
          <w:sz w:val="32"/>
          <w:szCs w:val="32"/>
          <w:lang w:val="en-US" w:eastAsia="zh-CN" w:bidi="ar-SA"/>
        </w:rPr>
      </w:pPr>
      <w:r>
        <w:rPr>
          <w:rFonts w:hint="eastAsia" w:ascii="仿宋_GB2312" w:hAnsi="仿宋_GB2312" w:eastAsia="仿宋_GB2312" w:cs="仿宋_GB2312"/>
          <w:b/>
          <w:bCs/>
          <w:color w:val="000000"/>
          <w:sz w:val="32"/>
          <w:szCs w:val="32"/>
        </w:rPr>
        <w:t>第十一条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灾害评估</w:t>
      </w:r>
      <w:r>
        <w:rPr>
          <w:rFonts w:hint="eastAsia" w:ascii="仿宋_GB2312" w:hAnsi="仿宋_GB2312" w:eastAsia="仿宋_GB2312" w:cs="仿宋_GB2312"/>
          <w:color w:val="000000"/>
          <w:sz w:val="32"/>
          <w:szCs w:val="32"/>
        </w:rPr>
        <w:t>】</w:t>
      </w:r>
      <w:r>
        <w:rPr>
          <w:rFonts w:hint="eastAsia" w:ascii="Times New Roman" w:hAnsi="Times New Roman" w:eastAsia="黑体" w:cs="Times New Roman"/>
          <w:color w:val="000000"/>
          <w:sz w:val="32"/>
          <w:szCs w:val="32"/>
        </w:rPr>
        <w:t xml:space="preserve"> </w:t>
      </w:r>
      <w:r>
        <w:rPr>
          <w:rFonts w:hint="eastAsia" w:eastAsia="仿宋_GB2312" w:asciiTheme="minorHAnsi" w:hAnsiTheme="minorHAnsi" w:cstheme="minorBidi"/>
          <w:color w:val="000000"/>
          <w:kern w:val="0"/>
          <w:sz w:val="32"/>
          <w:szCs w:val="32"/>
          <w:lang w:val="en-US" w:eastAsia="zh-CN" w:bidi="ar-SA"/>
        </w:rPr>
        <w:t>大型建设工程、重点工程、爆炸和火灾危险环境、人员密集场所等项目应当进行雷电灾害风险评估，以确保公共安全。</w:t>
      </w:r>
    </w:p>
    <w:p w14:paraId="2587D065">
      <w:pPr>
        <w:pStyle w:val="10"/>
        <w:keepNext w:val="0"/>
        <w:keepLines w:val="0"/>
        <w:pageBreakBefore w:val="0"/>
        <w:kinsoku/>
        <w:overflowPunct/>
        <w:topLinePunct w:val="0"/>
        <w:bidi w:val="0"/>
        <w:snapToGrid/>
        <w:spacing w:before="0" w:beforeAutospacing="0" w:after="0" w:afterAutospacing="0" w:line="560" w:lineRule="exact"/>
        <w:ind w:firstLine="640" w:firstLineChars="200"/>
        <w:jc w:val="both"/>
        <w:rPr>
          <w:rFonts w:hint="eastAsia" w:eastAsia="仿宋_GB2312" w:asciiTheme="minorHAnsi" w:hAnsiTheme="minorHAnsi" w:cstheme="minorBidi"/>
          <w:color w:val="000000"/>
          <w:kern w:val="0"/>
          <w:sz w:val="32"/>
          <w:szCs w:val="32"/>
          <w:lang w:val="en-US" w:eastAsia="zh-CN" w:bidi="ar-SA"/>
        </w:rPr>
      </w:pPr>
      <w:r>
        <w:rPr>
          <w:rFonts w:hint="eastAsia" w:eastAsia="仿宋_GB2312" w:asciiTheme="minorHAnsi" w:hAnsiTheme="minorHAnsi" w:cstheme="minorBidi"/>
          <w:color w:val="000000"/>
          <w:kern w:val="0"/>
          <w:sz w:val="32"/>
          <w:szCs w:val="32"/>
          <w:lang w:val="en-US" w:eastAsia="zh-CN" w:bidi="ar-SA"/>
        </w:rPr>
        <w:t>各级地方气象主管机构按照有关规定组织进行本行政区域内的雷电灾害风险评估工作。</w:t>
      </w:r>
    </w:p>
    <w:p w14:paraId="5DB33012">
      <w:pPr>
        <w:pStyle w:val="11"/>
        <w:keepNext w:val="0"/>
        <w:keepLines w:val="0"/>
        <w:pageBreakBefore w:val="0"/>
        <w:kinsoku/>
        <w:overflowPunct/>
        <w:topLinePunct w:val="0"/>
        <w:autoSpaceDE/>
        <w:autoSpaceDN/>
        <w:bidi w:val="0"/>
        <w:snapToGrid/>
        <w:spacing w:line="560" w:lineRule="exact"/>
        <w:ind w:firstLine="643" w:firstLineChars="200"/>
        <w:jc w:val="both"/>
        <w:rPr>
          <w:rFonts w:hint="default" w:ascii="Times New Roman" w:hAnsi="Times New Roman" w:eastAsia="仿宋_GB2312" w:cs="仿宋_GB2312"/>
          <w:kern w:val="2"/>
          <w:sz w:val="32"/>
          <w:szCs w:val="32"/>
        </w:rPr>
      </w:pPr>
      <w:r>
        <w:rPr>
          <w:rFonts w:ascii="仿宋_GB2312" w:hAnsi="仿宋_GB2312" w:eastAsia="仿宋_GB2312" w:cs="仿宋_GB2312"/>
          <w:b/>
          <w:bCs/>
          <w:sz w:val="32"/>
          <w:szCs w:val="32"/>
        </w:rPr>
        <w:t>第十二条【评估要求】</w:t>
      </w:r>
      <w:r>
        <w:rPr>
          <w:rFonts w:ascii="Times New Roman" w:hAnsi="Times New Roman" w:eastAsia="黑体"/>
          <w:sz w:val="32"/>
          <w:szCs w:val="32"/>
        </w:rPr>
        <w:t xml:space="preserve"> </w:t>
      </w:r>
      <w:r>
        <w:rPr>
          <w:rFonts w:ascii="Times New Roman" w:hAnsi="Times New Roman" w:eastAsia="仿宋_GB2312" w:cs="仿宋_GB2312"/>
          <w:kern w:val="2"/>
          <w:sz w:val="32"/>
          <w:szCs w:val="32"/>
        </w:rPr>
        <w:t>雷电灾害风险评估机构应当按照相关行业标准、技术规范的要求，使用气象主管机构所属的气象台站直接提供或者经气象主管机构审查的气象资料，综合考虑</w:t>
      </w:r>
      <w:r>
        <w:rPr>
          <w:rFonts w:eastAsia="仿宋_GB2312"/>
          <w:sz w:val="32"/>
          <w:szCs w:val="32"/>
        </w:rPr>
        <w:t>雷电易发区域划定等情形，</w:t>
      </w:r>
      <w:r>
        <w:rPr>
          <w:rFonts w:ascii="Times New Roman" w:hAnsi="Times New Roman" w:eastAsia="仿宋_GB2312" w:cs="仿宋_GB2312"/>
          <w:kern w:val="2"/>
          <w:sz w:val="32"/>
          <w:szCs w:val="32"/>
        </w:rPr>
        <w:t>开展雷电灾害风险评估。</w:t>
      </w:r>
    </w:p>
    <w:p w14:paraId="7A99B05A">
      <w:pPr>
        <w:pStyle w:val="11"/>
        <w:keepNext w:val="0"/>
        <w:keepLines w:val="0"/>
        <w:pageBreakBefore w:val="0"/>
        <w:kinsoku/>
        <w:overflowPunct/>
        <w:topLinePunct w:val="0"/>
        <w:bidi w:val="0"/>
        <w:snapToGrid/>
        <w:spacing w:line="560" w:lineRule="exact"/>
        <w:ind w:firstLine="643" w:firstLineChars="200"/>
        <w:rPr>
          <w:rFonts w:hint="default" w:ascii="Times New Roman" w:hAnsi="Times New Roman" w:eastAsia="仿宋_GB2312" w:cs="仿宋_GB2312"/>
          <w:kern w:val="2"/>
          <w:sz w:val="32"/>
          <w:szCs w:val="32"/>
        </w:rPr>
      </w:pPr>
      <w:r>
        <w:rPr>
          <w:rFonts w:ascii="仿宋_GB2312" w:hAnsi="仿宋_GB2312" w:eastAsia="仿宋_GB2312" w:cs="仿宋_GB2312"/>
          <w:b/>
          <w:bCs/>
          <w:sz w:val="32"/>
          <w:szCs w:val="32"/>
        </w:rPr>
        <w:t>第十三条【评估应用】</w:t>
      </w:r>
      <w:r>
        <w:rPr>
          <w:rFonts w:ascii="Times New Roman" w:hAnsi="Times New Roman" w:eastAsia="仿宋_GB2312" w:cs="仿宋_GB2312"/>
          <w:kern w:val="2"/>
          <w:sz w:val="32"/>
          <w:szCs w:val="32"/>
        </w:rPr>
        <w:t xml:space="preserve"> 负责规划或者建设项目审批、核准的部门在编制规划和审批、核准建设项目时应当将雷电灾害风险评估报告作为参考依据，统筹考虑雷电灾害的风险性。</w:t>
      </w:r>
    </w:p>
    <w:p w14:paraId="5589672B">
      <w:pPr>
        <w:pStyle w:val="11"/>
        <w:keepNext w:val="0"/>
        <w:keepLines w:val="0"/>
        <w:pageBreakBefore w:val="0"/>
        <w:kinsoku/>
        <w:overflowPunct/>
        <w:topLinePunct w:val="0"/>
        <w:bidi w:val="0"/>
        <w:snapToGrid/>
        <w:spacing w:line="560" w:lineRule="exact"/>
        <w:ind w:firstLine="640" w:firstLineChars="20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建设单位应当充分运用评估成果，根据雷电灾害风险评估报告设计、安装相应的雷电防护装置，采取其他雷电灾害防御措施。</w:t>
      </w:r>
    </w:p>
    <w:p w14:paraId="5CB3FA3A">
      <w:pPr>
        <w:keepNext w:val="0"/>
        <w:keepLines w:val="0"/>
        <w:pageBreakBefore w:val="0"/>
        <w:kinsoku/>
        <w:overflowPunct/>
        <w:topLinePunct w:val="0"/>
        <w:bidi w:val="0"/>
        <w:snapToGrid/>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kern w:val="0"/>
          <w:sz w:val="32"/>
          <w:szCs w:val="32"/>
        </w:rPr>
        <w:t>第十四条【区域协同】</w:t>
      </w:r>
      <w:r>
        <w:rPr>
          <w:rFonts w:hint="eastAsia" w:ascii="Times New Roman" w:hAnsi="Times New Roman" w:eastAsia="黑体" w:cs="Times New Roman"/>
          <w:color w:val="000000"/>
          <w:kern w:val="0"/>
          <w:sz w:val="32"/>
          <w:szCs w:val="32"/>
        </w:rPr>
        <w:t xml:space="preserve"> </w:t>
      </w:r>
      <w:r>
        <w:rPr>
          <w:rFonts w:hint="eastAsia" w:ascii="Times New Roman" w:hAnsi="Times New Roman" w:eastAsia="仿宋_GB2312" w:cs="仿宋_GB2312"/>
          <w:color w:val="000000"/>
          <w:kern w:val="2"/>
          <w:sz w:val="32"/>
          <w:szCs w:val="32"/>
          <w:lang w:val="en-US" w:eastAsia="zh-CN" w:bidi="ar-SA"/>
        </w:rPr>
        <w:t>市人民政府应当与鹤壁市、焦作市人民政府统筹规划布设雷电监测站网，统一雷电相关预警标准，共同做好边际地区的雷电灾害防御工作。</w:t>
      </w:r>
    </w:p>
    <w:p w14:paraId="7EA7E4D7">
      <w:pPr>
        <w:pStyle w:val="5"/>
        <w:keepNext w:val="0"/>
        <w:keepLines w:val="0"/>
        <w:pageBreakBefore w:val="0"/>
        <w:kinsoku/>
        <w:wordWrap w:val="0"/>
        <w:overflowPunct/>
        <w:topLinePunct w:val="0"/>
        <w:bidi w:val="0"/>
        <w:snapToGrid/>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第十五条【监测站网】</w:t>
      </w:r>
      <w:r>
        <w:rPr>
          <w:rFonts w:hint="eastAsia" w:ascii="仿宋_GB2312" w:hAnsi="仿宋_GB2312" w:eastAsia="仿宋_GB2312" w:cs="仿宋_GB2312"/>
          <w:color w:val="000000" w:themeColor="text1"/>
          <w:sz w:val="32"/>
          <w:szCs w:val="32"/>
          <w14:textFill>
            <w14:solidFill>
              <w14:schemeClr w14:val="tx1"/>
            </w14:solidFill>
          </w14:textFill>
        </w:rPr>
        <w:t>市、县</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气象主管机构应当按照国家、省有关规定，结合地方实际，组织本行政区域内的雷电监测网建设，建立完善雷电实时监测系统。</w:t>
      </w:r>
    </w:p>
    <w:p w14:paraId="41304666">
      <w:pPr>
        <w:pStyle w:val="5"/>
        <w:keepNext w:val="0"/>
        <w:keepLines w:val="0"/>
        <w:pageBreakBefore w:val="0"/>
        <w:kinsoku/>
        <w:wordWrap w:val="0"/>
        <w:overflowPunct/>
        <w:topLinePunct w:val="0"/>
        <w:bidi w:val="0"/>
        <w:snapToGrid/>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化工园区、大型油气储存基地应当配备应用雷电预警系统，鼓励使用智能化雷电预警设施和在线监测设备。</w:t>
      </w:r>
    </w:p>
    <w:p w14:paraId="37C02C42">
      <w:pPr>
        <w:keepNext w:val="0"/>
        <w:keepLines w:val="0"/>
        <w:pageBreakBefore w:val="0"/>
        <w:kinsoku/>
        <w:overflowPunct/>
        <w:topLinePunct w:val="0"/>
        <w:bidi w:val="0"/>
        <w:snapToGrid/>
        <w:spacing w:line="560" w:lineRule="exact"/>
        <w:ind w:firstLine="643" w:firstLineChars="200"/>
        <w:rPr>
          <w:rFonts w:ascii="Times New Roman" w:hAnsi="Times New Roman" w:eastAsia="仿宋_GB2312" w:cs="仿宋_GB2312"/>
          <w:sz w:val="32"/>
          <w:szCs w:val="32"/>
        </w:rPr>
      </w:pPr>
      <w:r>
        <w:rPr>
          <w:rFonts w:hint="eastAsia" w:ascii="仿宋_GB2312" w:hAnsi="仿宋_GB2312" w:eastAsia="仿宋_GB2312" w:cs="仿宋_GB2312"/>
          <w:b/>
          <w:bCs/>
          <w:color w:val="000000"/>
          <w:kern w:val="0"/>
          <w:sz w:val="32"/>
          <w:szCs w:val="32"/>
        </w:rPr>
        <w:t>第十六条【雷电预警】</w:t>
      </w:r>
      <w:r>
        <w:rPr>
          <w:rFonts w:hint="eastAsia" w:ascii="Times New Roman" w:hAnsi="Times New Roman" w:eastAsia="黑体" w:cs="Times New Roman"/>
          <w:color w:val="000000"/>
          <w:kern w:val="0"/>
          <w:sz w:val="32"/>
          <w:szCs w:val="32"/>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市、县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14:textFill>
            <w14:solidFill>
              <w14:schemeClr w14:val="tx1"/>
            </w14:solidFill>
          </w14:textFill>
        </w:rPr>
        <w:t>气象主管机构所属的气象台站应当及时制作、发布和更新雷电相关预警信息</w:t>
      </w:r>
      <w:r>
        <w:rPr>
          <w:rFonts w:hint="eastAsia" w:ascii="Times New Roman" w:hAnsi="Times New Roman" w:eastAsia="仿宋_GB2312" w:cs="仿宋_GB2312"/>
          <w:sz w:val="32"/>
          <w:szCs w:val="32"/>
        </w:rPr>
        <w:t>。</w:t>
      </w:r>
    </w:p>
    <w:p w14:paraId="2F9FB4BE">
      <w:pPr>
        <w:pStyle w:val="10"/>
        <w:keepNext w:val="0"/>
        <w:keepLines w:val="0"/>
        <w:pageBreakBefore w:val="0"/>
        <w:kinsoku/>
        <w:overflowPunct/>
        <w:topLinePunct w:val="0"/>
        <w:bidi w:val="0"/>
        <w:snapToGrid/>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其他任何组织或者个人不得擅自向社会发布</w:t>
      </w:r>
      <w:r>
        <w:rPr>
          <w:rFonts w:hint="eastAsia" w:ascii="仿宋_GB2312" w:hAnsi="仿宋_GB2312" w:eastAsia="仿宋_GB2312" w:cs="仿宋_GB2312"/>
          <w:bCs/>
          <w:sz w:val="32"/>
          <w:szCs w:val="32"/>
        </w:rPr>
        <w:t>雷电相关预警信息</w:t>
      </w:r>
      <w:r>
        <w:rPr>
          <w:rFonts w:hint="eastAsia" w:ascii="仿宋_GB2312" w:hAnsi="仿宋_GB2312" w:eastAsia="仿宋_GB2312" w:cs="仿宋_GB2312"/>
          <w:color w:val="000000" w:themeColor="text1"/>
          <w:sz w:val="32"/>
          <w:szCs w:val="32"/>
          <w14:textFill>
            <w14:solidFill>
              <w14:schemeClr w14:val="tx1"/>
            </w14:solidFill>
          </w14:textFill>
        </w:rPr>
        <w:t>。</w:t>
      </w:r>
    </w:p>
    <w:p w14:paraId="63D3984F">
      <w:pPr>
        <w:keepNext w:val="0"/>
        <w:keepLines w:val="0"/>
        <w:pageBreakBefore w:val="0"/>
        <w:kinsoku/>
        <w:overflowPunct/>
        <w:topLinePunct w:val="0"/>
        <w:bidi w:val="0"/>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第十七条【预警传播】</w:t>
      </w:r>
      <w:r>
        <w:rPr>
          <w:rFonts w:hint="eastAsia" w:ascii="Times New Roman" w:hAnsi="Times New Roman" w:eastAsia="黑体" w:cs="Times New Roman"/>
          <w:color w:val="000000"/>
          <w:kern w:val="0"/>
          <w:sz w:val="32"/>
          <w:szCs w:val="32"/>
        </w:rPr>
        <w:t xml:space="preserve"> </w:t>
      </w:r>
      <w:r>
        <w:rPr>
          <w:rFonts w:hint="eastAsia" w:ascii="仿宋_GB2312" w:hAnsi="仿宋_GB2312" w:eastAsia="仿宋_GB2312" w:cs="仿宋_GB2312"/>
          <w:sz w:val="32"/>
          <w:szCs w:val="32"/>
        </w:rPr>
        <w:t>广播、报纸、电视、网络等媒体和基础电信运营企业应当按照有关规定，及时、准确地将雷电相关预警信息向社会传播，提醒有关部门和社会公众做好雷电灾害防御工作。</w:t>
      </w:r>
    </w:p>
    <w:p w14:paraId="649A045A">
      <w:pPr>
        <w:pStyle w:val="11"/>
        <w:keepNext w:val="0"/>
        <w:keepLines w:val="0"/>
        <w:pageBreakBefore w:val="0"/>
        <w:kinsoku/>
        <w:overflowPunct/>
        <w:topLinePunct w:val="0"/>
        <w:bidi w:val="0"/>
        <w:snapToGrid/>
        <w:spacing w:line="560" w:lineRule="exact"/>
        <w:ind w:firstLine="640" w:firstLineChars="200"/>
        <w:rPr>
          <w:rFonts w:hint="eastAsia" w:ascii="Times New Roman" w:hAnsi="Times New Roman" w:eastAsia="仿宋_GB2312" w:cs="仿宋_GB2312"/>
          <w:kern w:val="2"/>
          <w:sz w:val="32"/>
          <w:szCs w:val="32"/>
        </w:rPr>
      </w:pPr>
      <w:r>
        <w:rPr>
          <w:rFonts w:hint="eastAsia" w:ascii="Times New Roman" w:hAnsi="Times New Roman" w:eastAsia="仿宋_GB2312" w:cs="仿宋_GB2312"/>
          <w:sz w:val="32"/>
          <w:szCs w:val="32"/>
        </w:rPr>
        <w:t>鼓励各类媒体和个人及时准确传播雷电相关预警信息，传播</w:t>
      </w:r>
      <w:r>
        <w:rPr>
          <w:rFonts w:hint="eastAsia" w:ascii="Times New Roman" w:hAnsi="Times New Roman" w:eastAsia="仿宋_GB2312" w:cs="仿宋_GB2312"/>
          <w:kern w:val="2"/>
          <w:sz w:val="32"/>
          <w:szCs w:val="32"/>
        </w:rPr>
        <w:t>时应当注明发布单位名称和发布时间，不得更改信息内容和结论，不得传播虚假、过时或者通过非法渠道获得的信息。</w:t>
      </w:r>
    </w:p>
    <w:p w14:paraId="5B7E00F7">
      <w:pPr>
        <w:pStyle w:val="11"/>
        <w:keepNext w:val="0"/>
        <w:keepLines w:val="0"/>
        <w:pageBreakBefore w:val="0"/>
        <w:kinsoku/>
        <w:overflowPunct/>
        <w:topLinePunct w:val="0"/>
        <w:bidi w:val="0"/>
        <w:snapToGrid/>
        <w:spacing w:line="560" w:lineRule="exact"/>
        <w:ind w:firstLine="640" w:firstLineChars="200"/>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乡镇人民政府、街道办事处、村（居）民委员会和学校、医院、商场、企业、矿区、机场、车站、旅游景点、养老院、儿童福利院等人员密集场所的管理单位，在收到雷电相关预警信息后，应当及时向本辖区、场所的公众传播，并采取相应防御措施。</w:t>
      </w:r>
    </w:p>
    <w:p w14:paraId="7ED042E4">
      <w:pPr>
        <w:pStyle w:val="11"/>
        <w:keepNext w:val="0"/>
        <w:keepLines w:val="0"/>
        <w:pageBreakBefore w:val="0"/>
        <w:kinsoku/>
        <w:overflowPunct/>
        <w:topLinePunct w:val="0"/>
        <w:bidi w:val="0"/>
        <w:snapToGrid/>
        <w:spacing w:line="560" w:lineRule="exact"/>
        <w:ind w:firstLine="643" w:firstLineChars="200"/>
        <w:rPr>
          <w:rFonts w:hint="eastAsia" w:ascii="Times New Roman" w:hAnsi="Times New Roman" w:eastAsia="仿宋_GB2312" w:cs="仿宋_GB2312"/>
          <w:kern w:val="2"/>
          <w:sz w:val="32"/>
          <w:szCs w:val="32"/>
        </w:rPr>
      </w:pPr>
      <w:r>
        <w:rPr>
          <w:rFonts w:hint="eastAsia" w:ascii="仿宋_GB2312" w:hAnsi="仿宋_GB2312" w:eastAsia="仿宋_GB2312" w:cs="仿宋_GB2312"/>
          <w:b/>
          <w:bCs/>
          <w:color w:val="000000"/>
          <w:kern w:val="0"/>
          <w:sz w:val="32"/>
          <w:szCs w:val="32"/>
        </w:rPr>
        <w:t>第十八条【雷灾保险】</w:t>
      </w:r>
      <w:r>
        <w:rPr>
          <w:rFonts w:hint="eastAsia" w:ascii="Times New Roman" w:hAnsi="Times New Roman" w:eastAsia="黑体" w:cs="Times New Roman"/>
          <w:color w:val="000000"/>
          <w:kern w:val="0"/>
          <w:sz w:val="32"/>
          <w:szCs w:val="32"/>
        </w:rPr>
        <w:t xml:space="preserve"> </w:t>
      </w:r>
      <w:r>
        <w:rPr>
          <w:rFonts w:hint="eastAsia" w:ascii="Times New Roman" w:hAnsi="Times New Roman" w:eastAsia="仿宋_GB2312" w:cs="仿宋_GB2312"/>
          <w:kern w:val="2"/>
          <w:sz w:val="32"/>
          <w:szCs w:val="32"/>
        </w:rPr>
        <w:t>鼓励和支持相关部门与保险行业加强合作，探索符合本地特点的雷电灾害保险险种、机制和模式。</w:t>
      </w:r>
    </w:p>
    <w:p w14:paraId="5B992C3A">
      <w:pPr>
        <w:pStyle w:val="11"/>
        <w:keepNext w:val="0"/>
        <w:keepLines w:val="0"/>
        <w:pageBreakBefore w:val="0"/>
        <w:kinsoku/>
        <w:overflowPunct/>
        <w:topLinePunct w:val="0"/>
        <w:bidi w:val="0"/>
        <w:snapToGrid/>
        <w:spacing w:line="560" w:lineRule="exact"/>
        <w:ind w:firstLine="640" w:firstLineChars="200"/>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鼓励大型建设工程、重点工程、爆炸和火灾危险环境、人员密集场所等项目购买雷电灾害保险，减少雷电灾害造成的损失。</w:t>
      </w:r>
    </w:p>
    <w:p w14:paraId="5DB47E51">
      <w:pPr>
        <w:keepNext w:val="0"/>
        <w:keepLines w:val="0"/>
        <w:pageBreakBefore w:val="0"/>
        <w:kinsoku/>
        <w:overflowPunct/>
        <w:topLinePunct w:val="0"/>
        <w:bidi w:val="0"/>
        <w:snapToGrid/>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p>
    <w:p w14:paraId="2BB8794A">
      <w:pPr>
        <w:keepNext w:val="0"/>
        <w:keepLines w:val="0"/>
        <w:pageBreakBefore w:val="0"/>
        <w:kinsoku/>
        <w:overflowPunct/>
        <w:topLinePunct w:val="0"/>
        <w:bidi w:val="0"/>
        <w:snapToGrid/>
        <w:spacing w:line="560" w:lineRule="exact"/>
        <w:jc w:val="center"/>
        <w:rPr>
          <w:rFonts w:ascii="仿宋_GB2312" w:hAnsi="仿宋_GB2312" w:eastAsia="仿宋_GB2312" w:cs="仿宋_GB2312"/>
          <w:sz w:val="32"/>
          <w:szCs w:val="32"/>
        </w:rPr>
      </w:pPr>
      <w:r>
        <w:rPr>
          <w:rFonts w:hint="eastAsia" w:ascii="黑体" w:hAnsi="黑体" w:eastAsia="黑体" w:cs="黑体"/>
          <w:sz w:val="32"/>
          <w:szCs w:val="32"/>
        </w:rPr>
        <w:t>第三章  建设与许可</w:t>
      </w:r>
    </w:p>
    <w:p w14:paraId="58E83D87">
      <w:pPr>
        <w:keepNext w:val="0"/>
        <w:keepLines w:val="0"/>
        <w:pageBreakBefore w:val="0"/>
        <w:kinsoku/>
        <w:overflowPunct/>
        <w:topLinePunct w:val="0"/>
        <w:bidi w:val="0"/>
        <w:snapToGrid/>
        <w:spacing w:line="56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rPr>
        <w:t xml:space="preserve">第十九条【雷电防护装置安装】 </w:t>
      </w:r>
      <w:r>
        <w:rPr>
          <w:rFonts w:hint="eastAsia" w:ascii="仿宋_GB2312" w:hAnsi="仿宋_GB2312" w:eastAsia="仿宋_GB2312" w:cs="仿宋_GB2312"/>
          <w:color w:val="000000"/>
          <w:kern w:val="0"/>
          <w:sz w:val="32"/>
          <w:szCs w:val="32"/>
        </w:rPr>
        <w:t>下列建（构）筑物、场所或者设施，应当按照国家技术标准和技术规范安装雷电防护装置：</w:t>
      </w:r>
    </w:p>
    <w:p w14:paraId="03030B61">
      <w:pPr>
        <w:keepNext w:val="0"/>
        <w:keepLines w:val="0"/>
        <w:pageBreakBefore w:val="0"/>
        <w:kinsoku/>
        <w:overflowPunct/>
        <w:topLinePunct w:val="0"/>
        <w:bidi w:val="0"/>
        <w:snapToGrid/>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（一）《建筑物防雷设计规范》规定的一、二、三类防雷建（构）筑物及其附属设施；</w:t>
      </w:r>
    </w:p>
    <w:p w14:paraId="7577F1A0">
      <w:pPr>
        <w:keepNext w:val="0"/>
        <w:keepLines w:val="0"/>
        <w:pageBreakBefore w:val="0"/>
        <w:kinsoku/>
        <w:overflowPunct/>
        <w:topLinePunct w:val="0"/>
        <w:bidi w:val="0"/>
        <w:snapToGrid/>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（二）石油、化工、燃气、烟花爆竹等易燃易爆物品生产、加工、贮存、运输、销售等场所和设施；</w:t>
      </w:r>
    </w:p>
    <w:p w14:paraId="1637FFF5">
      <w:pPr>
        <w:keepNext w:val="0"/>
        <w:keepLines w:val="0"/>
        <w:pageBreakBefore w:val="0"/>
        <w:kinsoku/>
        <w:overflowPunct/>
        <w:topLinePunct w:val="0"/>
        <w:bidi w:val="0"/>
        <w:snapToGrid/>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（三）煤炭、电力生产设施和输配电系统；</w:t>
      </w:r>
    </w:p>
    <w:p w14:paraId="3DC3FBBC">
      <w:pPr>
        <w:keepNext w:val="0"/>
        <w:keepLines w:val="0"/>
        <w:pageBreakBefore w:val="0"/>
        <w:kinsoku/>
        <w:overflowPunct/>
        <w:topLinePunct w:val="0"/>
        <w:bidi w:val="0"/>
        <w:snapToGrid/>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（四）邮电通信、广播电视、金融证券、计算机信息系统等设施；</w:t>
      </w:r>
    </w:p>
    <w:p w14:paraId="1D88DAD3">
      <w:pPr>
        <w:keepNext w:val="0"/>
        <w:keepLines w:val="0"/>
        <w:pageBreakBefore w:val="0"/>
        <w:kinsoku/>
        <w:overflowPunct/>
        <w:topLinePunct w:val="0"/>
        <w:bidi w:val="0"/>
        <w:snapToGrid/>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（五）体育场馆、影剧院、商场、宾馆、医院、学校、车站、住宅小区等人员密集场所和露天的大型娱乐、游乐设施；</w:t>
      </w:r>
    </w:p>
    <w:p w14:paraId="23C4F3EF">
      <w:pPr>
        <w:keepNext w:val="0"/>
        <w:keepLines w:val="0"/>
        <w:pageBreakBefore w:val="0"/>
        <w:kinsoku/>
        <w:overflowPunct/>
        <w:topLinePunct w:val="0"/>
        <w:bidi w:val="0"/>
        <w:snapToGrid/>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（六）雷电易发区内的矿区、旅游景区的建（构）筑物和生产设施；</w:t>
      </w:r>
    </w:p>
    <w:p w14:paraId="75E683A1">
      <w:pPr>
        <w:keepNext w:val="0"/>
        <w:keepLines w:val="0"/>
        <w:pageBreakBefore w:val="0"/>
        <w:kinsoku/>
        <w:overflowPunct/>
        <w:topLinePunct w:val="0"/>
        <w:bidi w:val="0"/>
        <w:snapToGrid/>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（七）不可移动易遭雷击的文物建筑，易遭雷击的古树名木；</w:t>
      </w:r>
    </w:p>
    <w:p w14:paraId="240897CA">
      <w:pPr>
        <w:keepNext w:val="0"/>
        <w:keepLines w:val="0"/>
        <w:pageBreakBefore w:val="0"/>
        <w:kinsoku/>
        <w:overflowPunct/>
        <w:topLinePunct w:val="0"/>
        <w:bidi w:val="0"/>
        <w:snapToGrid/>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（八）法律、法规规定应当安装雷电防护装置的其他场所和设施。</w:t>
      </w:r>
    </w:p>
    <w:p w14:paraId="7777DA36">
      <w:pPr>
        <w:keepNext w:val="0"/>
        <w:keepLines w:val="0"/>
        <w:pageBreakBefore w:val="0"/>
        <w:framePr w:hSpace="180" w:wrap="around" w:vAnchor="text" w:hAnchor="page" w:x="1581" w:y="92"/>
        <w:kinsoku/>
        <w:overflowPunct/>
        <w:topLinePunct w:val="0"/>
        <w:bidi w:val="0"/>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第二十条【农村地区雷电防护装置安装】</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32"/>
          <w:szCs w:val="32"/>
        </w:rPr>
        <w:t>加强农村地区雷电灾害防御工作，完善农村地区雷电灾害防御基础设施建设。</w:t>
      </w:r>
    </w:p>
    <w:p w14:paraId="5C88FD0A">
      <w:pPr>
        <w:keepNext w:val="0"/>
        <w:keepLines w:val="0"/>
        <w:pageBreakBefore w:val="0"/>
        <w:framePr w:hSpace="180" w:wrap="around" w:vAnchor="text" w:hAnchor="page" w:x="1581" w:y="92"/>
        <w:kinsoku/>
        <w:overflowPunct/>
        <w:topLinePunct w:val="0"/>
        <w:bidi w:val="0"/>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进村入户的电力、通信、广播电视、燃气等公共设施的建设单位应当按照相关标准设计、安装雷电防护装置。</w:t>
      </w:r>
    </w:p>
    <w:p w14:paraId="1C36BAC6">
      <w:pPr>
        <w:keepNext w:val="0"/>
        <w:keepLines w:val="0"/>
        <w:pageBreakBefore w:val="0"/>
        <w:kinsoku/>
        <w:overflowPunct/>
        <w:topLinePunct w:val="0"/>
        <w:bidi w:val="0"/>
        <w:snapToGrid/>
        <w:spacing w:line="560" w:lineRule="exact"/>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rPr>
        <w:t xml:space="preserve">二十一条【三同时】 </w:t>
      </w:r>
      <w:r>
        <w:rPr>
          <w:rFonts w:hint="eastAsia" w:ascii="仿宋_GB2312" w:hAnsi="仿宋_GB2312" w:eastAsia="仿宋_GB2312" w:cs="仿宋_GB2312"/>
          <w:color w:val="000000"/>
          <w:kern w:val="0"/>
          <w:sz w:val="32"/>
          <w:szCs w:val="32"/>
        </w:rPr>
        <w:t>新建、改建、扩建建（构）筑物、场所或者设施的雷电防护装置，应当与主体工程同时设计、同时施工、同时投入使用。</w:t>
      </w:r>
    </w:p>
    <w:p w14:paraId="44105AA8">
      <w:pPr>
        <w:keepNext w:val="0"/>
        <w:keepLines w:val="0"/>
        <w:pageBreakBefore w:val="0"/>
        <w:kinsoku/>
        <w:overflowPunct/>
        <w:topLinePunct w:val="0"/>
        <w:bidi w:val="0"/>
        <w:snapToGrid/>
        <w:spacing w:line="560" w:lineRule="exact"/>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sz w:val="32"/>
          <w:szCs w:val="32"/>
        </w:rPr>
        <w:t>雷电防护装置未经设计审核或者设计审核不合格的</w:t>
      </w:r>
      <w:r>
        <w:rPr>
          <w:rFonts w:hint="eastAsia" w:ascii="仿宋_GB2312" w:hAnsi="仿宋_GB2312" w:eastAsia="仿宋_GB2312" w:cs="仿宋_GB2312"/>
          <w:sz w:val="32"/>
          <w:szCs w:val="32"/>
          <w:lang w:eastAsia="zh-CN"/>
        </w:rPr>
        <w:t>，不得</w:t>
      </w:r>
      <w:r>
        <w:rPr>
          <w:rFonts w:hint="eastAsia" w:ascii="仿宋_GB2312" w:hAnsi="仿宋_GB2312" w:eastAsia="仿宋_GB2312" w:cs="仿宋_GB2312"/>
          <w:sz w:val="32"/>
          <w:szCs w:val="32"/>
        </w:rPr>
        <w:t>施工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未经竣工验收或者竣工验收不合格</w:t>
      </w:r>
      <w:r>
        <w:rPr>
          <w:rFonts w:hint="eastAsia" w:ascii="仿宋_GB2312" w:hAnsi="仿宋_GB2312" w:eastAsia="仿宋_GB2312" w:cs="仿宋_GB2312"/>
          <w:sz w:val="32"/>
          <w:szCs w:val="32"/>
          <w:lang w:eastAsia="zh-CN"/>
        </w:rPr>
        <w:t>的，不得</w:t>
      </w:r>
      <w:r>
        <w:rPr>
          <w:rFonts w:hint="eastAsia" w:ascii="仿宋_GB2312" w:hAnsi="仿宋_GB2312" w:eastAsia="仿宋_GB2312" w:cs="仿宋_GB2312"/>
          <w:sz w:val="32"/>
          <w:szCs w:val="32"/>
        </w:rPr>
        <w:t>交付使用</w:t>
      </w:r>
      <w:r>
        <w:rPr>
          <w:rFonts w:hint="eastAsia" w:ascii="仿宋_GB2312" w:hAnsi="仿宋_GB2312" w:eastAsia="仿宋_GB2312" w:cs="仿宋_GB2312"/>
          <w:sz w:val="32"/>
          <w:szCs w:val="32"/>
          <w:lang w:eastAsia="zh-CN"/>
        </w:rPr>
        <w:t>。</w:t>
      </w:r>
    </w:p>
    <w:p w14:paraId="41EC0E6A">
      <w:pPr>
        <w:keepNext w:val="0"/>
        <w:keepLines w:val="0"/>
        <w:pageBreakBefore w:val="0"/>
        <w:kinsoku/>
        <w:overflowPunct/>
        <w:topLinePunct w:val="0"/>
        <w:bidi w:val="0"/>
        <w:snapToGrid/>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rPr>
        <w:t xml:space="preserve">第二十二条【许可与监管1】 </w:t>
      </w:r>
      <w:r>
        <w:rPr>
          <w:rFonts w:hint="eastAsia" w:ascii="仿宋_GB2312" w:hAnsi="仿宋_GB2312" w:eastAsia="仿宋_GB2312" w:cs="仿宋_GB2312"/>
          <w:color w:val="000000"/>
          <w:kern w:val="0"/>
          <w:sz w:val="32"/>
          <w:szCs w:val="32"/>
        </w:rPr>
        <w:t>气象主管机构负责下列建设工程、场所和大型项目雷电防护装置的设计审核、竣工验收和投入使用后的监督管理：</w:t>
      </w:r>
    </w:p>
    <w:p w14:paraId="189B32B7">
      <w:pPr>
        <w:keepNext w:val="0"/>
        <w:keepLines w:val="0"/>
        <w:pageBreakBefore w:val="0"/>
        <w:kinsoku/>
        <w:overflowPunct/>
        <w:topLinePunct w:val="0"/>
        <w:bidi w:val="0"/>
        <w:snapToGrid/>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（一）油库、气库、弹药库、化学品仓库和烟花爆竹、石化等易燃易爆建设工程和场所；</w:t>
      </w:r>
    </w:p>
    <w:p w14:paraId="09A419FD">
      <w:pPr>
        <w:keepNext w:val="0"/>
        <w:keepLines w:val="0"/>
        <w:pageBreakBefore w:val="0"/>
        <w:kinsoku/>
        <w:overflowPunct/>
        <w:topLinePunct w:val="0"/>
        <w:bidi w:val="0"/>
        <w:snapToGrid/>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（二）雷电易发区内的矿区、旅游景点或者投入使用的建（构）筑物、设施等需要单独安装雷电防护装置的场所；</w:t>
      </w:r>
    </w:p>
    <w:p w14:paraId="229BCD1A">
      <w:pPr>
        <w:keepNext w:val="0"/>
        <w:keepLines w:val="0"/>
        <w:pageBreakBefore w:val="0"/>
        <w:kinsoku/>
        <w:overflowPunct/>
        <w:topLinePunct w:val="0"/>
        <w:bidi w:val="0"/>
        <w:snapToGrid/>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（三）雷电风险高且没有防雷标准规范、需要进行特殊论证的大型项目。</w:t>
      </w:r>
    </w:p>
    <w:p w14:paraId="0813DF59">
      <w:pPr>
        <w:keepNext w:val="0"/>
        <w:keepLines w:val="0"/>
        <w:pageBreakBefore w:val="0"/>
        <w:kinsoku/>
        <w:overflowPunct/>
        <w:topLinePunct w:val="0"/>
        <w:bidi w:val="0"/>
        <w:snapToGrid/>
        <w:spacing w:line="56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第二十三条【许可与监管2-1】</w:t>
      </w:r>
      <w:r>
        <w:rPr>
          <w:rFonts w:hint="eastAsia" w:ascii="仿宋_GB2312" w:hAnsi="仿宋_GB2312" w:eastAsia="仿宋_GB2312" w:cs="仿宋_GB2312"/>
          <w:color w:val="000000"/>
          <w:kern w:val="0"/>
          <w:sz w:val="32"/>
          <w:szCs w:val="32"/>
        </w:rPr>
        <w:t xml:space="preserve"> 住房和城乡建设部门负责将房屋建筑工程和市政基础设施工程雷电防护装置的设计审核、竣工验收，纳入建筑工程施工图审查、竣工验收备案。</w:t>
      </w:r>
    </w:p>
    <w:p w14:paraId="3F3E129C">
      <w:pPr>
        <w:keepNext w:val="0"/>
        <w:keepLines w:val="0"/>
        <w:pageBreakBefore w:val="0"/>
        <w:kinsoku/>
        <w:overflowPunct/>
        <w:topLinePunct w:val="0"/>
        <w:bidi w:val="0"/>
        <w:snapToGrid/>
        <w:spacing w:line="560"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公路、铁路、水利、电力、通信等建设工程雷电防护装置的设计审核、竣工验收，由各相应领域的建设工程主管部门负责。</w:t>
      </w:r>
    </w:p>
    <w:p w14:paraId="46B958AC">
      <w:pPr>
        <w:keepNext w:val="0"/>
        <w:keepLines w:val="0"/>
        <w:pageBreakBefore w:val="0"/>
        <w:kinsoku/>
        <w:overflowPunct/>
        <w:topLinePunct w:val="0"/>
        <w:bidi w:val="0"/>
        <w:snapToGrid/>
        <w:spacing w:line="560" w:lineRule="exact"/>
        <w:ind w:firstLine="643" w:firstLineChars="200"/>
        <w:jc w:val="left"/>
        <w:rPr>
          <w:rFonts w:ascii="Times New Roman" w:hAnsi="Times New Roman"/>
          <w:szCs w:val="21"/>
        </w:rPr>
      </w:pPr>
      <w:r>
        <w:rPr>
          <w:rFonts w:hint="eastAsia" w:ascii="仿宋_GB2312" w:hAnsi="仿宋_GB2312" w:eastAsia="仿宋_GB2312" w:cs="仿宋_GB2312"/>
          <w:b/>
          <w:bCs/>
          <w:color w:val="000000"/>
          <w:kern w:val="0"/>
          <w:sz w:val="32"/>
          <w:szCs w:val="32"/>
        </w:rPr>
        <w:t xml:space="preserve">第二十四条【许可与监管2-2】 </w:t>
      </w:r>
      <w:r>
        <w:rPr>
          <w:rFonts w:hint="eastAsia" w:ascii="仿宋_GB2312" w:hAnsi="仿宋_GB2312" w:eastAsia="仿宋_GB2312" w:cs="仿宋_GB2312"/>
          <w:color w:val="000000"/>
          <w:kern w:val="0"/>
          <w:sz w:val="32"/>
          <w:szCs w:val="32"/>
        </w:rPr>
        <w:t>应急</w:t>
      </w:r>
      <w:r>
        <w:rPr>
          <w:rFonts w:hint="eastAsia" w:ascii="仿宋_GB2312" w:hAnsi="仿宋_GB2312" w:eastAsia="仿宋_GB2312" w:cs="仿宋_GB2312"/>
          <w:color w:val="000000"/>
          <w:kern w:val="0"/>
          <w:sz w:val="32"/>
          <w:szCs w:val="32"/>
          <w:lang w:eastAsia="zh-CN"/>
        </w:rPr>
        <w:t>管理</w:t>
      </w:r>
      <w:r>
        <w:rPr>
          <w:rFonts w:hint="eastAsia" w:ascii="仿宋_GB2312" w:hAnsi="仿宋_GB2312" w:eastAsia="仿宋_GB2312" w:cs="仿宋_GB2312"/>
          <w:color w:val="000000"/>
          <w:kern w:val="0"/>
          <w:sz w:val="32"/>
          <w:szCs w:val="32"/>
        </w:rPr>
        <w:t>、住房</w:t>
      </w:r>
      <w:r>
        <w:rPr>
          <w:rFonts w:hint="eastAsia" w:ascii="仿宋_GB2312" w:hAnsi="仿宋_GB2312" w:eastAsia="仿宋_GB2312" w:cs="仿宋_GB2312"/>
          <w:color w:val="000000"/>
          <w:kern w:val="0"/>
          <w:sz w:val="32"/>
          <w:szCs w:val="32"/>
          <w:lang w:eastAsia="zh-CN"/>
        </w:rPr>
        <w:t>和</w:t>
      </w:r>
      <w:r>
        <w:rPr>
          <w:rFonts w:hint="eastAsia" w:ascii="仿宋_GB2312" w:hAnsi="仿宋_GB2312" w:eastAsia="仿宋_GB2312" w:cs="仿宋_GB2312"/>
          <w:color w:val="000000"/>
          <w:kern w:val="0"/>
          <w:sz w:val="32"/>
          <w:szCs w:val="32"/>
        </w:rPr>
        <w:t>城乡建设、城</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管</w:t>
      </w:r>
      <w:r>
        <w:rPr>
          <w:rFonts w:hint="eastAsia" w:ascii="仿宋_GB2312" w:hAnsi="仿宋_GB2312" w:eastAsia="仿宋_GB2312" w:cs="仿宋_GB2312"/>
          <w:color w:val="000000"/>
          <w:kern w:val="0"/>
          <w:sz w:val="32"/>
          <w:szCs w:val="32"/>
          <w:lang w:eastAsia="zh-CN"/>
        </w:rPr>
        <w:t>理</w:t>
      </w:r>
      <w:r>
        <w:rPr>
          <w:rFonts w:hint="eastAsia" w:ascii="仿宋_GB2312" w:hAnsi="仿宋_GB2312" w:eastAsia="仿宋_GB2312" w:cs="仿宋_GB2312"/>
          <w:color w:val="000000"/>
          <w:kern w:val="0"/>
          <w:sz w:val="32"/>
          <w:szCs w:val="32"/>
        </w:rPr>
        <w:t>、教育、文化</w:t>
      </w:r>
      <w:r>
        <w:rPr>
          <w:rFonts w:hint="eastAsia" w:ascii="仿宋_GB2312" w:hAnsi="仿宋_GB2312" w:eastAsia="仿宋_GB2312" w:cs="仿宋_GB2312"/>
          <w:color w:val="000000"/>
          <w:kern w:val="0"/>
          <w:sz w:val="32"/>
          <w:szCs w:val="32"/>
          <w:lang w:eastAsia="zh-CN"/>
        </w:rPr>
        <w:t>广电</w:t>
      </w:r>
      <w:r>
        <w:rPr>
          <w:rFonts w:hint="eastAsia" w:ascii="仿宋_GB2312" w:hAnsi="仿宋_GB2312" w:eastAsia="仿宋_GB2312" w:cs="仿宋_GB2312"/>
          <w:color w:val="000000"/>
          <w:kern w:val="0"/>
          <w:sz w:val="32"/>
          <w:szCs w:val="32"/>
        </w:rPr>
        <w:t>旅游、市场监管、交通运输、工业和信息化、卫生健康、商务、电力等部门要将防雷安全监管工作纳入本行业、本领域安全生产工作内容和专项检查范围，落实防雷安全监管责任</w:t>
      </w:r>
      <w:r>
        <w:rPr>
          <w:rFonts w:hint="eastAsia" w:ascii="仿宋_GB2312" w:hAnsi="仿宋_GB2312" w:eastAsia="仿宋_GB2312" w:cs="仿宋_GB2312"/>
          <w:sz w:val="32"/>
          <w:szCs w:val="32"/>
        </w:rPr>
        <w:t>，并与各级气象主管部门建立常态化工作联系制度</w:t>
      </w:r>
      <w:r>
        <w:rPr>
          <w:rFonts w:ascii="仿宋_GB2312" w:hAnsi="仿宋_GB2312" w:eastAsia="仿宋_GB2312" w:cs="仿宋_GB2312"/>
          <w:sz w:val="32"/>
          <w:szCs w:val="32"/>
        </w:rPr>
        <w:t>。</w:t>
      </w:r>
    </w:p>
    <w:p w14:paraId="4223C23F">
      <w:pPr>
        <w:keepNext w:val="0"/>
        <w:keepLines w:val="0"/>
        <w:pageBreakBefore w:val="0"/>
        <w:kinsoku/>
        <w:overflowPunct/>
        <w:topLinePunct w:val="0"/>
        <w:bidi w:val="0"/>
        <w:snapToGrid/>
        <w:spacing w:line="560" w:lineRule="exact"/>
        <w:jc w:val="center"/>
        <w:rPr>
          <w:rFonts w:ascii="黑体" w:hAnsi="黑体" w:eastAsia="黑体" w:cs="黑体"/>
          <w:sz w:val="32"/>
          <w:szCs w:val="32"/>
        </w:rPr>
      </w:pPr>
    </w:p>
    <w:p w14:paraId="2CC453CF">
      <w:pPr>
        <w:keepNext w:val="0"/>
        <w:keepLines w:val="0"/>
        <w:pageBreakBefore w:val="0"/>
        <w:kinsoku/>
        <w:overflowPunct/>
        <w:topLinePunct w:val="0"/>
        <w:bidi w:val="0"/>
        <w:snapToGrid/>
        <w:spacing w:line="560" w:lineRule="exact"/>
        <w:jc w:val="center"/>
        <w:rPr>
          <w:rFonts w:ascii="黑体" w:hAnsi="黑体" w:eastAsia="黑体" w:cs="黑体"/>
          <w:sz w:val="32"/>
          <w:szCs w:val="32"/>
        </w:rPr>
      </w:pPr>
      <w:r>
        <w:rPr>
          <w:rFonts w:hint="eastAsia" w:ascii="黑体" w:hAnsi="黑体" w:eastAsia="黑体" w:cs="黑体"/>
          <w:sz w:val="32"/>
          <w:szCs w:val="32"/>
        </w:rPr>
        <w:t>第四章 检测</w:t>
      </w:r>
    </w:p>
    <w:p w14:paraId="4A2B934C">
      <w:pPr>
        <w:pStyle w:val="5"/>
        <w:keepNext w:val="0"/>
        <w:keepLines w:val="0"/>
        <w:pageBreakBefore w:val="0"/>
        <w:shd w:val="clear" w:color="auto" w:fill="FFFFFF"/>
        <w:kinsoku/>
        <w:overflowPunct/>
        <w:topLinePunct w:val="0"/>
        <w:bidi w:val="0"/>
        <w:snapToGrid/>
        <w:spacing w:before="0" w:beforeAutospacing="0" w:after="0" w:afterAutospacing="0" w:line="560" w:lineRule="exact"/>
        <w:ind w:firstLine="643" w:firstLineChars="200"/>
        <w:jc w:val="both"/>
        <w:rPr>
          <w:rFonts w:ascii="仿宋_GB2312" w:eastAsia="仿宋_GB2312" w:hAnsiTheme="minorHAnsi" w:cstheme="minorBidi"/>
          <w:bCs/>
          <w:kern w:val="2"/>
          <w:sz w:val="32"/>
          <w:szCs w:val="32"/>
        </w:rPr>
      </w:pPr>
      <w:r>
        <w:rPr>
          <w:rFonts w:hint="eastAsia" w:ascii="仿宋_GB2312" w:hAnsi="仿宋_GB2312" w:eastAsia="仿宋_GB2312" w:cs="仿宋_GB2312"/>
          <w:b/>
          <w:bCs/>
          <w:color w:val="000000"/>
          <w:sz w:val="32"/>
          <w:szCs w:val="32"/>
        </w:rPr>
        <w:t>第二十五条【定期检测】</w:t>
      </w:r>
      <w:r>
        <w:rPr>
          <w:rFonts w:hint="eastAsia" w:ascii="Times New Roman" w:hAnsi="Times New Roman" w:eastAsia="黑体" w:cs="Times New Roman"/>
          <w:color w:val="000000"/>
          <w:sz w:val="32"/>
          <w:szCs w:val="32"/>
        </w:rPr>
        <w:t xml:space="preserve"> </w:t>
      </w:r>
      <w:r>
        <w:rPr>
          <w:rFonts w:hint="eastAsia" w:ascii="仿宋_GB2312" w:eastAsia="仿宋_GB2312" w:hAnsiTheme="minorHAnsi" w:cstheme="minorBidi"/>
          <w:bCs/>
          <w:kern w:val="2"/>
          <w:sz w:val="32"/>
          <w:szCs w:val="32"/>
        </w:rPr>
        <w:t>投入</w:t>
      </w:r>
      <w:r>
        <w:rPr>
          <w:rFonts w:hint="eastAsia" w:ascii="仿宋_GB2312" w:eastAsia="仿宋_GB2312" w:cstheme="minorBidi"/>
          <w:bCs/>
          <w:kern w:val="2"/>
          <w:sz w:val="32"/>
          <w:szCs w:val="32"/>
        </w:rPr>
        <w:t>使用后的雷电防护装置实行定期检测制度。雷电防护装置应当每年检测一次，对</w:t>
      </w:r>
      <w:r>
        <w:rPr>
          <w:rFonts w:hint="eastAsia" w:ascii="Times New Roman" w:hAnsi="Times New Roman" w:eastAsia="仿宋_GB2312" w:cs="仿宋_GB2312"/>
          <w:kern w:val="2"/>
          <w:sz w:val="32"/>
          <w:szCs w:val="32"/>
        </w:rPr>
        <w:t>石油、化工等易燃易爆物资</w:t>
      </w:r>
      <w:r>
        <w:rPr>
          <w:rFonts w:hint="eastAsia" w:ascii="仿宋_GB2312" w:eastAsia="仿宋_GB2312" w:hAnsiTheme="minorHAnsi" w:cstheme="minorBidi"/>
          <w:bCs/>
          <w:kern w:val="2"/>
          <w:sz w:val="32"/>
          <w:szCs w:val="32"/>
        </w:rPr>
        <w:t>的</w:t>
      </w:r>
      <w:r>
        <w:rPr>
          <w:rFonts w:hint="eastAsia" w:ascii="仿宋_GB2312" w:hAnsi="仿宋_GB2312" w:eastAsia="仿宋_GB2312" w:cs="仿宋_GB2312"/>
          <w:color w:val="000000"/>
          <w:sz w:val="32"/>
          <w:szCs w:val="32"/>
        </w:rPr>
        <w:t>生产、加工、贮存、运输、销售</w:t>
      </w:r>
      <w:r>
        <w:rPr>
          <w:rFonts w:hint="eastAsia" w:ascii="仿宋_GB2312" w:eastAsia="仿宋_GB2312" w:hAnsiTheme="minorHAnsi" w:cstheme="minorBidi"/>
          <w:bCs/>
          <w:kern w:val="2"/>
          <w:sz w:val="32"/>
          <w:szCs w:val="32"/>
        </w:rPr>
        <w:t>等场所和设施的雷电防护装置应当每半年检测一次。</w:t>
      </w:r>
    </w:p>
    <w:p w14:paraId="06272F18">
      <w:pPr>
        <w:pStyle w:val="5"/>
        <w:keepNext w:val="0"/>
        <w:keepLines w:val="0"/>
        <w:pageBreakBefore w:val="0"/>
        <w:shd w:val="clear" w:color="auto" w:fill="FFFFFF"/>
        <w:kinsoku/>
        <w:overflowPunct/>
        <w:topLinePunct w:val="0"/>
        <w:bidi w:val="0"/>
        <w:snapToGrid/>
        <w:spacing w:before="0" w:beforeAutospacing="0" w:after="0" w:afterAutospacing="0" w:line="560" w:lineRule="exact"/>
        <w:ind w:firstLine="643" w:firstLineChars="200"/>
        <w:jc w:val="both"/>
        <w:rPr>
          <w:rFonts w:ascii="仿宋_GB2312" w:eastAsia="仿宋_GB2312" w:hAnsiTheme="minorHAnsi" w:cstheme="minorBidi"/>
          <w:bCs/>
          <w:kern w:val="2"/>
          <w:sz w:val="32"/>
          <w:szCs w:val="32"/>
        </w:rPr>
      </w:pPr>
      <w:r>
        <w:rPr>
          <w:rFonts w:hint="eastAsia" w:ascii="仿宋_GB2312" w:hAnsi="仿宋_GB2312" w:eastAsia="仿宋_GB2312" w:cs="仿宋_GB2312"/>
          <w:b/>
          <w:bCs/>
          <w:color w:val="000000"/>
          <w:sz w:val="32"/>
          <w:szCs w:val="32"/>
        </w:rPr>
        <w:t xml:space="preserve">第二十六条【委托检测】 </w:t>
      </w:r>
      <w:r>
        <w:rPr>
          <w:rFonts w:hint="eastAsia" w:ascii="仿宋_GB2312" w:eastAsia="仿宋_GB2312" w:hAnsiTheme="minorHAnsi" w:cstheme="minorBidi"/>
          <w:bCs/>
          <w:kern w:val="2"/>
          <w:sz w:val="32"/>
          <w:szCs w:val="32"/>
        </w:rPr>
        <w:t>雷电防护装置的所有人或者管理人应当</w:t>
      </w:r>
      <w:r>
        <w:rPr>
          <w:rFonts w:hint="eastAsia" w:ascii="仿宋_GB2312" w:eastAsia="仿宋_GB2312" w:cstheme="minorBidi"/>
          <w:bCs/>
          <w:kern w:val="2"/>
          <w:sz w:val="32"/>
          <w:szCs w:val="32"/>
        </w:rPr>
        <w:t>对雷电防护装置进行日常维护、保养，</w:t>
      </w:r>
      <w:r>
        <w:rPr>
          <w:rFonts w:hint="eastAsia" w:ascii="仿宋_GB2312" w:eastAsia="仿宋_GB2312" w:hAnsiTheme="minorHAnsi" w:cstheme="minorBidi"/>
          <w:bCs/>
          <w:kern w:val="2"/>
          <w:sz w:val="32"/>
          <w:szCs w:val="32"/>
        </w:rPr>
        <w:t>主动委托相应的雷电防护装置检测资质</w:t>
      </w:r>
      <w:r>
        <w:rPr>
          <w:rFonts w:hint="eastAsia" w:ascii="仿宋_GB2312" w:eastAsia="仿宋_GB2312" w:cstheme="minorBidi"/>
          <w:bCs/>
          <w:kern w:val="2"/>
          <w:sz w:val="32"/>
          <w:szCs w:val="32"/>
        </w:rPr>
        <w:t>单位</w:t>
      </w:r>
      <w:r>
        <w:rPr>
          <w:rFonts w:hint="eastAsia" w:ascii="仿宋_GB2312" w:eastAsia="仿宋_GB2312" w:hAnsiTheme="minorHAnsi" w:cstheme="minorBidi"/>
          <w:bCs/>
          <w:kern w:val="2"/>
          <w:sz w:val="32"/>
          <w:szCs w:val="32"/>
        </w:rPr>
        <w:t>对雷电防护装置进行定期检测</w:t>
      </w:r>
      <w:r>
        <w:rPr>
          <w:rFonts w:hint="eastAsia" w:ascii="仿宋_GB2312" w:eastAsia="仿宋_GB2312" w:cstheme="minorBidi"/>
          <w:bCs/>
          <w:kern w:val="2"/>
          <w:sz w:val="32"/>
          <w:szCs w:val="32"/>
        </w:rPr>
        <w:t>。</w:t>
      </w:r>
    </w:p>
    <w:p w14:paraId="67D0CF11">
      <w:pPr>
        <w:pStyle w:val="2"/>
        <w:keepNext w:val="0"/>
        <w:keepLines w:val="0"/>
        <w:pageBreakBefore w:val="0"/>
        <w:kinsoku/>
        <w:overflowPunct/>
        <w:topLinePunct w:val="0"/>
        <w:bidi w:val="0"/>
        <w:snapToGrid/>
        <w:spacing w:after="0" w:line="560" w:lineRule="exact"/>
        <w:ind w:firstLine="640" w:firstLineChars="200"/>
        <w:outlineLvl w:val="0"/>
        <w:rPr>
          <w:rFonts w:ascii="仿宋_GB2312" w:eastAsia="仿宋_GB2312"/>
          <w:bCs/>
          <w:sz w:val="32"/>
          <w:szCs w:val="32"/>
        </w:rPr>
      </w:pPr>
      <w:r>
        <w:rPr>
          <w:rFonts w:hint="eastAsia" w:ascii="仿宋_GB2312" w:eastAsia="仿宋_GB2312"/>
          <w:bCs/>
          <w:sz w:val="32"/>
          <w:szCs w:val="32"/>
        </w:rPr>
        <w:t>雷电防护装置作为公共安全设施，有物业服务人的，物业服务人应当按照物业服务合同的约定对物业服务区域的雷电防护装置进行维护管理和委托检测。物业服务合同未约定雷电防护装置管理内容或者约定不明确的，产权人可以与物业服务人补充约定。</w:t>
      </w:r>
    </w:p>
    <w:p w14:paraId="5C02A8FE">
      <w:pPr>
        <w:pStyle w:val="5"/>
        <w:keepNext w:val="0"/>
        <w:keepLines w:val="0"/>
        <w:pageBreakBefore w:val="0"/>
        <w:shd w:val="clear" w:color="auto" w:fill="FFFFFF"/>
        <w:kinsoku/>
        <w:overflowPunct/>
        <w:topLinePunct w:val="0"/>
        <w:bidi w:val="0"/>
        <w:snapToGrid/>
        <w:spacing w:before="0" w:beforeAutospacing="0" w:after="0" w:afterAutospacing="0" w:line="560" w:lineRule="exact"/>
        <w:ind w:firstLine="643" w:firstLineChars="200"/>
        <w:jc w:val="both"/>
        <w:rPr>
          <w:rFonts w:ascii="仿宋_GB2312" w:eastAsia="仿宋_GB2312" w:cstheme="minorBidi"/>
          <w:bCs/>
          <w:kern w:val="2"/>
          <w:sz w:val="32"/>
          <w:szCs w:val="32"/>
        </w:rPr>
      </w:pPr>
      <w:r>
        <w:rPr>
          <w:rFonts w:hint="eastAsia" w:ascii="仿宋_GB2312" w:hAnsi="仿宋_GB2312" w:eastAsia="仿宋_GB2312" w:cs="仿宋_GB2312"/>
          <w:b/>
          <w:bCs/>
          <w:color w:val="000000"/>
          <w:sz w:val="32"/>
          <w:szCs w:val="32"/>
        </w:rPr>
        <w:t>第二十七条【从业要求】</w:t>
      </w:r>
      <w:r>
        <w:rPr>
          <w:rFonts w:hint="eastAsia" w:ascii="Times New Roman" w:hAnsi="Times New Roman" w:eastAsia="黑体" w:cs="Times New Roman"/>
          <w:color w:val="000000"/>
          <w:sz w:val="32"/>
          <w:szCs w:val="32"/>
        </w:rPr>
        <w:t xml:space="preserve"> </w:t>
      </w:r>
      <w:r>
        <w:rPr>
          <w:rFonts w:hint="eastAsia" w:ascii="仿宋_GB2312" w:eastAsia="仿宋_GB2312" w:hAnsiTheme="minorHAnsi" w:cstheme="minorBidi"/>
          <w:bCs/>
          <w:kern w:val="2"/>
          <w:sz w:val="32"/>
          <w:szCs w:val="32"/>
        </w:rPr>
        <w:t>从事</w:t>
      </w:r>
      <w:r>
        <w:rPr>
          <w:rFonts w:hint="eastAsia" w:ascii="仿宋_GB2312" w:eastAsia="仿宋_GB2312" w:cstheme="minorBidi"/>
          <w:bCs/>
          <w:kern w:val="2"/>
          <w:sz w:val="32"/>
          <w:szCs w:val="32"/>
        </w:rPr>
        <w:t>雷电防护装置检测的单位应当依法取得省级气象主管机构颁发的资质证书，并按照资质等级开展相应的雷电防护装置检测工作。</w:t>
      </w:r>
    </w:p>
    <w:p w14:paraId="19D45B79">
      <w:pPr>
        <w:pStyle w:val="5"/>
        <w:keepNext w:val="0"/>
        <w:keepLines w:val="0"/>
        <w:pageBreakBefore w:val="0"/>
        <w:shd w:val="clear" w:color="auto" w:fill="FFFFFF"/>
        <w:kinsoku/>
        <w:overflowPunct/>
        <w:topLinePunct w:val="0"/>
        <w:bidi w:val="0"/>
        <w:snapToGrid/>
        <w:spacing w:before="0" w:beforeAutospacing="0" w:after="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雷电防护装置检测资质单位及其专业技术人员开展雷电防护装置检测，应当执行国家以及本省、市的有关技术标准和规范。</w:t>
      </w:r>
    </w:p>
    <w:p w14:paraId="5C740675">
      <w:pPr>
        <w:keepNext w:val="0"/>
        <w:keepLines w:val="0"/>
        <w:pageBreakBefore w:val="0"/>
        <w:kinsoku/>
        <w:overflowPunct/>
        <w:topLinePunct w:val="0"/>
        <w:bidi w:val="0"/>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第二十八条【从业监管】</w:t>
      </w:r>
      <w:r>
        <w:rPr>
          <w:rFonts w:hint="eastAsia" w:ascii="仿宋_GB2312" w:hAnsi="仿宋_GB2312" w:eastAsia="仿宋_GB2312" w:cs="仿宋_GB2312"/>
          <w:sz w:val="32"/>
          <w:szCs w:val="32"/>
        </w:rPr>
        <w:t>雷电防护装置检测资质单位应主动向检测项目所在地的市、县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气象主管机构报送从业信息，自觉接受监督。</w:t>
      </w:r>
    </w:p>
    <w:p w14:paraId="2FA63668">
      <w:pPr>
        <w:keepNext w:val="0"/>
        <w:keepLines w:val="0"/>
        <w:pageBreakBefore w:val="0"/>
        <w:kinsoku/>
        <w:overflowPunct/>
        <w:topLinePunct w:val="0"/>
        <w:bidi w:val="0"/>
        <w:snapToGrid/>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气象主管机构应当建立雷电防护装置检测资质单位从业信息档案，采集在本行政区域内从业的雷电防护装置检测资质单位的公共信用信息，及时录入监管平台，按照国家规定向社会公示相关信息。</w:t>
      </w:r>
    </w:p>
    <w:p w14:paraId="22DB8920">
      <w:pPr>
        <w:keepNext w:val="0"/>
        <w:keepLines w:val="0"/>
        <w:pageBreakBefore w:val="0"/>
        <w:kinsoku/>
        <w:overflowPunct/>
        <w:topLinePunct w:val="0"/>
        <w:bidi w:val="0"/>
        <w:snapToGrid/>
        <w:spacing w:line="560" w:lineRule="exact"/>
        <w:ind w:firstLine="643" w:firstLineChars="200"/>
        <w:rPr>
          <w:rFonts w:ascii="Times New Roman" w:hAnsi="Times New Roman" w:eastAsia="仿宋_GB2312" w:cs="Times New Roman"/>
          <w:color w:val="000000"/>
          <w:kern w:val="0"/>
          <w:sz w:val="32"/>
          <w:szCs w:val="32"/>
        </w:rPr>
      </w:pPr>
      <w:r>
        <w:rPr>
          <w:rFonts w:hint="eastAsia" w:ascii="仿宋_GB2312" w:hAnsi="仿宋_GB2312" w:eastAsia="仿宋_GB2312" w:cs="仿宋_GB2312"/>
          <w:b/>
          <w:bCs/>
          <w:color w:val="000000"/>
          <w:kern w:val="0"/>
          <w:sz w:val="32"/>
          <w:szCs w:val="32"/>
        </w:rPr>
        <w:t>第二十九条【检测报告】</w:t>
      </w:r>
      <w:r>
        <w:rPr>
          <w:rFonts w:hint="eastAsia" w:ascii="Times New Roman" w:hAnsi="Times New Roman" w:eastAsia="黑体" w:cs="Times New Roman"/>
          <w:color w:val="000000"/>
          <w:kern w:val="0"/>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雷电防护装置检测资质单位对雷电防护装置检测后，应当出具真实可靠、</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符合技术标准的检测报告。</w:t>
      </w:r>
    </w:p>
    <w:p w14:paraId="7EA967D3">
      <w:pPr>
        <w:keepNext w:val="0"/>
        <w:keepLines w:val="0"/>
        <w:pageBreakBefore w:val="0"/>
        <w:kinsoku/>
        <w:overflowPunct/>
        <w:topLinePunct w:val="0"/>
        <w:bidi w:val="0"/>
        <w:snapToGrid/>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雷电防护装置检测资质单位应当通过防雷安全信息化监管平台报送检测报告信息，获取对应的检测标识。</w:t>
      </w:r>
    </w:p>
    <w:p w14:paraId="53E0507C">
      <w:pPr>
        <w:keepNext w:val="0"/>
        <w:keepLines w:val="0"/>
        <w:pageBreakBefore w:val="0"/>
        <w:kinsoku/>
        <w:overflowPunct/>
        <w:topLinePunct w:val="0"/>
        <w:bidi w:val="0"/>
        <w:snapToGrid/>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kern w:val="0"/>
          <w:sz w:val="32"/>
          <w:szCs w:val="32"/>
        </w:rPr>
        <w:t>第三十条【隐患整改】</w:t>
      </w:r>
      <w:r>
        <w:rPr>
          <w:rFonts w:hint="eastAsia" w:ascii="Times New Roman" w:hAnsi="Times New Roman" w:eastAsia="黑体" w:cs="Times New Roman"/>
          <w:color w:val="000000"/>
          <w:kern w:val="0"/>
          <w:sz w:val="32"/>
          <w:szCs w:val="32"/>
        </w:rPr>
        <w:t xml:space="preserve"> </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雷电防护装置检测不合格的，雷电防护装置检测资质单位应当在出具检测报告的同时提出整改意见。</w:t>
      </w:r>
    </w:p>
    <w:p w14:paraId="16A59107">
      <w:pPr>
        <w:keepNext w:val="0"/>
        <w:keepLines w:val="0"/>
        <w:pageBreakBefore w:val="0"/>
        <w:kinsoku/>
        <w:overflowPunct/>
        <w:topLinePunct w:val="0"/>
        <w:bidi w:val="0"/>
        <w:snapToGrid/>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委托检测的单位或者个人应当根据整改意见及时采取整改措施。</w:t>
      </w:r>
    </w:p>
    <w:p w14:paraId="51A1C4E4">
      <w:pPr>
        <w:keepNext w:val="0"/>
        <w:keepLines w:val="0"/>
        <w:pageBreakBefore w:val="0"/>
        <w:kinsoku/>
        <w:overflowPunct/>
        <w:topLinePunct w:val="0"/>
        <w:bidi w:val="0"/>
        <w:snapToGrid/>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p>
    <w:p w14:paraId="0366BFA6">
      <w:pPr>
        <w:keepNext w:val="0"/>
        <w:keepLines w:val="0"/>
        <w:pageBreakBefore w:val="0"/>
        <w:kinsoku/>
        <w:overflowPunct/>
        <w:topLinePunct w:val="0"/>
        <w:bidi w:val="0"/>
        <w:snapToGrid/>
        <w:spacing w:line="560" w:lineRule="exact"/>
        <w:jc w:val="center"/>
        <w:rPr>
          <w:rFonts w:ascii="黑体" w:hAnsi="黑体" w:eastAsia="黑体" w:cs="黑体"/>
          <w:sz w:val="32"/>
          <w:szCs w:val="32"/>
        </w:rPr>
      </w:pPr>
      <w:r>
        <w:rPr>
          <w:rFonts w:hint="eastAsia" w:ascii="黑体" w:hAnsi="黑体" w:eastAsia="黑体" w:cs="黑体"/>
          <w:sz w:val="32"/>
          <w:szCs w:val="32"/>
        </w:rPr>
        <w:t>第五章 监督管理</w:t>
      </w:r>
    </w:p>
    <w:p w14:paraId="5B04D16A">
      <w:pPr>
        <w:keepNext w:val="0"/>
        <w:keepLines w:val="0"/>
        <w:pageBreakBefore w:val="0"/>
        <w:kinsoku/>
        <w:overflowPunct/>
        <w:topLinePunct w:val="0"/>
        <w:bidi w:val="0"/>
        <w:snapToGrid/>
        <w:spacing w:line="560" w:lineRule="exact"/>
        <w:ind w:firstLine="643" w:firstLineChars="200"/>
        <w:jc w:val="left"/>
        <w:rPr>
          <w:rFonts w:ascii="黑体" w:hAnsi="黑体" w:eastAsia="黑体" w:cs="黑体"/>
          <w:sz w:val="32"/>
          <w:szCs w:val="32"/>
        </w:rPr>
      </w:pPr>
      <w:r>
        <w:rPr>
          <w:rFonts w:hint="eastAsia" w:ascii="仿宋_GB2312" w:hAnsi="仿宋_GB2312" w:eastAsia="仿宋_GB2312" w:cs="仿宋_GB2312"/>
          <w:b/>
          <w:bCs/>
          <w:sz w:val="32"/>
          <w:szCs w:val="32"/>
        </w:rPr>
        <w:t xml:space="preserve">第三十一条【联合监管机制】 </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气象主管机构应当会同住房和城乡建设、交通运输、水利、电力和通信等部门建立信息共享和协同监管机制，依法共享雷电防护装置的施工、检测、竣工验收等信息，加强对雷电</w:t>
      </w:r>
      <w:r>
        <w:rPr>
          <w:rFonts w:hint="eastAsia" w:ascii="仿宋_GB2312" w:hAnsi="仿宋_GB2312" w:eastAsia="仿宋_GB2312" w:cs="仿宋_GB2312"/>
          <w:sz w:val="32"/>
          <w:szCs w:val="32"/>
          <w:lang w:eastAsia="zh-CN"/>
        </w:rPr>
        <w:t>灾害防御</w:t>
      </w:r>
      <w:r>
        <w:rPr>
          <w:rFonts w:hint="eastAsia" w:ascii="仿宋_GB2312" w:hAnsi="仿宋_GB2312" w:eastAsia="仿宋_GB2312" w:cs="仿宋_GB2312"/>
          <w:sz w:val="32"/>
          <w:szCs w:val="32"/>
        </w:rPr>
        <w:t>工作的监督管理。</w:t>
      </w:r>
    </w:p>
    <w:p w14:paraId="56420628">
      <w:pPr>
        <w:pStyle w:val="2"/>
        <w:keepNext w:val="0"/>
        <w:keepLines w:val="0"/>
        <w:pageBreakBefore w:val="0"/>
        <w:kinsoku/>
        <w:overflowPunct/>
        <w:topLinePunct w:val="0"/>
        <w:bidi w:val="0"/>
        <w:snapToGrid/>
        <w:spacing w:after="0"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第三十二条【监督检查1】</w:t>
      </w:r>
      <w:r>
        <w:rPr>
          <w:rFonts w:hint="eastAsia" w:ascii="仿宋_GB2312" w:hAnsi="仿宋_GB2312" w:eastAsia="仿宋_GB2312" w:cs="仿宋_GB2312"/>
          <w:sz w:val="32"/>
          <w:szCs w:val="32"/>
        </w:rPr>
        <w:t>负有安全生产监督管理职责的部门负责对本行业、本领域投入使用后的雷电防护装置实施安全监管。</w:t>
      </w:r>
    </w:p>
    <w:p w14:paraId="64183E6F">
      <w:pPr>
        <w:pStyle w:val="2"/>
        <w:keepNext w:val="0"/>
        <w:keepLines w:val="0"/>
        <w:pageBreakBefore w:val="0"/>
        <w:kinsoku/>
        <w:overflowPunct/>
        <w:topLinePunct w:val="0"/>
        <w:bidi w:val="0"/>
        <w:snapToGrid/>
        <w:spacing w:after="0"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在进行安全生产检查时，一般应当查验如下内容：</w:t>
      </w:r>
    </w:p>
    <w:p w14:paraId="20B67897">
      <w:pPr>
        <w:pStyle w:val="2"/>
        <w:keepNext w:val="0"/>
        <w:keepLines w:val="0"/>
        <w:pageBreakBefore w:val="0"/>
        <w:kinsoku/>
        <w:overflowPunct/>
        <w:topLinePunct w:val="0"/>
        <w:bidi w:val="0"/>
        <w:snapToGrid/>
        <w:spacing w:after="0"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（一）雷电灾害防御工作制度建设情况；</w:t>
      </w:r>
    </w:p>
    <w:p w14:paraId="29F1E0D4">
      <w:pPr>
        <w:pStyle w:val="2"/>
        <w:keepNext w:val="0"/>
        <w:keepLines w:val="0"/>
        <w:pageBreakBefore w:val="0"/>
        <w:kinsoku/>
        <w:overflowPunct/>
        <w:topLinePunct w:val="0"/>
        <w:bidi w:val="0"/>
        <w:snapToGrid/>
        <w:spacing w:after="0"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（二）应急预案制定、应急演练、知识培训开展情况；</w:t>
      </w:r>
    </w:p>
    <w:p w14:paraId="58BF3E04">
      <w:pPr>
        <w:pStyle w:val="2"/>
        <w:keepNext w:val="0"/>
        <w:keepLines w:val="0"/>
        <w:pageBreakBefore w:val="0"/>
        <w:kinsoku/>
        <w:overflowPunct/>
        <w:topLinePunct w:val="0"/>
        <w:bidi w:val="0"/>
        <w:snapToGrid/>
        <w:spacing w:after="0"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（三）雷电防护装置定期巡查、隐患排查及整改情况；</w:t>
      </w:r>
    </w:p>
    <w:p w14:paraId="2FA1477F">
      <w:pPr>
        <w:pStyle w:val="2"/>
        <w:keepNext w:val="0"/>
        <w:keepLines w:val="0"/>
        <w:pageBreakBefore w:val="0"/>
        <w:kinsoku/>
        <w:overflowPunct/>
        <w:topLinePunct w:val="0"/>
        <w:bidi w:val="0"/>
        <w:snapToGrid/>
        <w:spacing w:after="0"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（四）雷电防护装置定期检测情况；</w:t>
      </w:r>
    </w:p>
    <w:p w14:paraId="5F357618">
      <w:pPr>
        <w:pStyle w:val="2"/>
        <w:keepNext w:val="0"/>
        <w:keepLines w:val="0"/>
        <w:pageBreakBefore w:val="0"/>
        <w:kinsoku/>
        <w:overflowPunct/>
        <w:topLinePunct w:val="0"/>
        <w:bidi w:val="0"/>
        <w:snapToGrid/>
        <w:spacing w:after="0"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（五）收到雷电相关预警信息或者雷电灾害发生后，及时启动应急预案，开展防灾减灾救灾以及雷灾报告制度执行情况等；</w:t>
      </w:r>
    </w:p>
    <w:p w14:paraId="3AC965E8">
      <w:pPr>
        <w:pStyle w:val="2"/>
        <w:keepNext w:val="0"/>
        <w:keepLines w:val="0"/>
        <w:pageBreakBefore w:val="0"/>
        <w:kinsoku/>
        <w:overflowPunct/>
        <w:topLinePunct w:val="0"/>
        <w:bidi w:val="0"/>
        <w:snapToGrid/>
        <w:spacing w:after="0"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（六）法律、法规和规章规定的应当实施监督检查的其他情况。</w:t>
      </w:r>
    </w:p>
    <w:p w14:paraId="2EFF60D1">
      <w:pPr>
        <w:pStyle w:val="2"/>
        <w:keepNext w:val="0"/>
        <w:keepLines w:val="0"/>
        <w:pageBreakBefore w:val="0"/>
        <w:kinsoku/>
        <w:overflowPunct/>
        <w:topLinePunct w:val="0"/>
        <w:bidi w:val="0"/>
        <w:snapToGrid/>
        <w:spacing w:after="0" w:line="560" w:lineRule="exact"/>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第三十三条【监督检查2】 </w:t>
      </w:r>
      <w:r>
        <w:rPr>
          <w:rFonts w:hint="eastAsia" w:ascii="仿宋_GB2312" w:hAnsi="仿宋_GB2312" w:eastAsia="仿宋_GB2312" w:cs="仿宋_GB2312"/>
          <w:sz w:val="32"/>
          <w:szCs w:val="32"/>
        </w:rPr>
        <w:t>相关部门对本行政区域内防雷安全的监督检查，可以采取下列措施：</w:t>
      </w:r>
    </w:p>
    <w:p w14:paraId="4B022F8E">
      <w:pPr>
        <w:pStyle w:val="2"/>
        <w:keepNext w:val="0"/>
        <w:keepLines w:val="0"/>
        <w:pageBreakBefore w:val="0"/>
        <w:kinsoku/>
        <w:overflowPunct/>
        <w:topLinePunct w:val="0"/>
        <w:bidi w:val="0"/>
        <w:snapToGrid/>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（一）要求被检查的单位或者个人提供有关文件和资料，进行查询或者复制。</w:t>
      </w:r>
    </w:p>
    <w:p w14:paraId="6ABFB688">
      <w:pPr>
        <w:pStyle w:val="2"/>
        <w:keepNext w:val="0"/>
        <w:keepLines w:val="0"/>
        <w:pageBreakBefore w:val="0"/>
        <w:kinsoku/>
        <w:overflowPunct/>
        <w:topLinePunct w:val="0"/>
        <w:bidi w:val="0"/>
        <w:snapToGrid/>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（二）就有关事项询问被检查的单位或者个人，要求作出说明；</w:t>
      </w:r>
    </w:p>
    <w:p w14:paraId="14CA463B">
      <w:pPr>
        <w:pStyle w:val="2"/>
        <w:keepNext w:val="0"/>
        <w:keepLines w:val="0"/>
        <w:pageBreakBefore w:val="0"/>
        <w:kinsoku/>
        <w:overflowPunct/>
        <w:topLinePunct w:val="0"/>
        <w:bidi w:val="0"/>
        <w:snapToGrid/>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（三）进入有关现场进行监督检查，有关单位和个人应当予以配合。</w:t>
      </w:r>
    </w:p>
    <w:p w14:paraId="46E65C29">
      <w:pPr>
        <w:pStyle w:val="2"/>
        <w:keepNext w:val="0"/>
        <w:keepLines w:val="0"/>
        <w:pageBreakBefore w:val="0"/>
        <w:kinsoku/>
        <w:overflowPunct/>
        <w:topLinePunct w:val="0"/>
        <w:bidi w:val="0"/>
        <w:snapToGrid/>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第三十四条【区域协同执法检查】 </w:t>
      </w:r>
      <w:r>
        <w:rPr>
          <w:rFonts w:hint="eastAsia" w:ascii="仿宋_GB2312" w:eastAsia="仿宋_GB2312"/>
          <w:sz w:val="32"/>
          <w:szCs w:val="32"/>
          <w:shd w:val="clear" w:color="auto" w:fill="FFFFFF"/>
          <w:lang w:eastAsia="zh-CN"/>
        </w:rPr>
        <w:t>市人民政府应当与</w:t>
      </w:r>
      <w:r>
        <w:rPr>
          <w:rFonts w:hint="eastAsia" w:ascii="仿宋_GB2312" w:eastAsia="仿宋_GB2312"/>
          <w:sz w:val="32"/>
          <w:szCs w:val="32"/>
          <w:shd w:val="clear" w:color="auto" w:fill="FFFFFF"/>
        </w:rPr>
        <w:t>鹤壁</w:t>
      </w:r>
      <w:r>
        <w:rPr>
          <w:rFonts w:hint="eastAsia" w:ascii="仿宋_GB2312" w:eastAsia="仿宋_GB2312"/>
          <w:sz w:val="32"/>
          <w:szCs w:val="32"/>
          <w:shd w:val="clear" w:color="auto" w:fill="FFFFFF"/>
          <w:lang w:eastAsia="zh-CN"/>
        </w:rPr>
        <w:t>市</w:t>
      </w:r>
      <w:r>
        <w:rPr>
          <w:rFonts w:hint="eastAsia" w:ascii="仿宋_GB2312" w:eastAsia="仿宋_GB2312"/>
          <w:sz w:val="32"/>
          <w:szCs w:val="32"/>
          <w:shd w:val="clear" w:color="auto" w:fill="FFFFFF"/>
        </w:rPr>
        <w:t>、焦作</w:t>
      </w:r>
      <w:r>
        <w:rPr>
          <w:rFonts w:hint="eastAsia" w:ascii="仿宋_GB2312" w:eastAsia="仿宋_GB2312"/>
          <w:sz w:val="32"/>
          <w:szCs w:val="32"/>
          <w:shd w:val="clear" w:color="auto" w:fill="FFFFFF"/>
          <w:lang w:eastAsia="zh-CN"/>
        </w:rPr>
        <w:t>市人民政府</w:t>
      </w:r>
      <w:r>
        <w:rPr>
          <w:rFonts w:hint="eastAsia" w:ascii="仿宋_GB2312" w:eastAsia="仿宋_GB2312"/>
          <w:sz w:val="32"/>
          <w:szCs w:val="32"/>
          <w:shd w:val="clear" w:color="auto" w:fill="FFFFFF"/>
        </w:rPr>
        <w:t>建立执法监管信息交流和共享机制，开展协同执法检查</w:t>
      </w:r>
      <w:r>
        <w:rPr>
          <w:rFonts w:hint="eastAsia" w:ascii="仿宋_GB2312" w:hAnsi="Times New Roman" w:eastAsia="仿宋_GB2312" w:cs="仿宋_GB2312"/>
          <w:color w:val="393939"/>
          <w:sz w:val="32"/>
          <w:szCs w:val="32"/>
          <w:shd w:val="clear" w:color="auto" w:fill="FFFFFF"/>
        </w:rPr>
        <w:t>。</w:t>
      </w:r>
    </w:p>
    <w:p w14:paraId="4B3E502F">
      <w:pPr>
        <w:pStyle w:val="2"/>
        <w:keepNext w:val="0"/>
        <w:keepLines w:val="0"/>
        <w:pageBreakBefore w:val="0"/>
        <w:kinsoku/>
        <w:overflowPunct/>
        <w:topLinePunct w:val="0"/>
        <w:bidi w:val="0"/>
        <w:snapToGrid/>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第三十五条【雷灾鉴定】 </w:t>
      </w:r>
      <w:r>
        <w:rPr>
          <w:rFonts w:hint="eastAsia" w:ascii="仿宋_GB2312" w:hAnsi="仿宋_GB2312" w:eastAsia="仿宋_GB2312" w:cs="仿宋_GB2312"/>
          <w:sz w:val="32"/>
          <w:szCs w:val="32"/>
        </w:rPr>
        <w:t>市、县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气象主管机构负责组织本行政区内雷电灾害调查、鉴定与统计工作，有关部门、单位和个人应当予以协助。</w:t>
      </w:r>
    </w:p>
    <w:p w14:paraId="63ED6165">
      <w:pPr>
        <w:pStyle w:val="2"/>
        <w:keepNext w:val="0"/>
        <w:keepLines w:val="0"/>
        <w:pageBreakBefore w:val="0"/>
        <w:kinsoku/>
        <w:overflowPunct/>
        <w:topLinePunct w:val="0"/>
        <w:bidi w:val="0"/>
        <w:snapToGrid/>
        <w:spacing w:after="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遭受雷电灾害的单位和个人，应当及时向当地气象主管机构报告。气象主管机构对雷电灾情应当按照规定向当地人民政府及负责安全生产监督管理的部门和上级气象主管机构报告。</w:t>
      </w:r>
    </w:p>
    <w:p w14:paraId="66722905">
      <w:pPr>
        <w:pStyle w:val="2"/>
        <w:keepNext w:val="0"/>
        <w:keepLines w:val="0"/>
        <w:pageBreakBefore w:val="0"/>
        <w:kinsoku/>
        <w:overflowPunct/>
        <w:topLinePunct w:val="0"/>
        <w:bidi w:val="0"/>
        <w:snapToGrid/>
        <w:spacing w:after="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b/>
          <w:bCs/>
          <w:kern w:val="2"/>
          <w:sz w:val="32"/>
          <w:szCs w:val="32"/>
        </w:rPr>
        <w:t>【法律责任</w:t>
      </w:r>
      <w:r>
        <w:rPr>
          <w:rFonts w:hint="eastAsia" w:ascii="仿宋_GB2312" w:hAnsi="仿宋_GB2312" w:eastAsia="仿宋_GB2312" w:cs="仿宋_GB2312"/>
          <w:b/>
          <w:bCs/>
          <w:kern w:val="2"/>
          <w:sz w:val="32"/>
          <w:szCs w:val="32"/>
          <w:lang w:val="en-US" w:eastAsia="zh-CN"/>
        </w:rPr>
        <w:t>1</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sz w:val="32"/>
          <w:szCs w:val="32"/>
        </w:rPr>
        <w:t xml:space="preserve"> 违反本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规定，有下列行为之一的，由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气象主管机构或者其他有关部门按照权限责令停止违法行为，处5万元以上10万元以下的罚款；有违法所得的，没收违法所得；给他人造成损失的，依法承担赔偿责任：</w:t>
      </w:r>
    </w:p>
    <w:p w14:paraId="7E5A3646">
      <w:pPr>
        <w:pStyle w:val="2"/>
        <w:keepNext w:val="0"/>
        <w:keepLines w:val="0"/>
        <w:pageBreakBefore w:val="0"/>
        <w:kinsoku/>
        <w:overflowPunct/>
        <w:topLinePunct w:val="0"/>
        <w:bidi w:val="0"/>
        <w:snapToGrid/>
        <w:spacing w:after="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（一）无资质或者超越资质许可范围从事雷电防护装置检测的；</w:t>
      </w:r>
    </w:p>
    <w:p w14:paraId="766E8EA4">
      <w:pPr>
        <w:pStyle w:val="2"/>
        <w:keepNext w:val="0"/>
        <w:keepLines w:val="0"/>
        <w:pageBreakBefore w:val="0"/>
        <w:kinsoku/>
        <w:overflowPunct/>
        <w:topLinePunct w:val="0"/>
        <w:bidi w:val="0"/>
        <w:snapToGrid/>
        <w:spacing w:after="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（二）在雷电防护装置设计、施工、检测中弄虚作假的；</w:t>
      </w:r>
    </w:p>
    <w:p w14:paraId="3182E4E7">
      <w:pPr>
        <w:pStyle w:val="2"/>
        <w:keepNext w:val="0"/>
        <w:keepLines w:val="0"/>
        <w:pageBreakBefore w:val="0"/>
        <w:kinsoku/>
        <w:overflowPunct/>
        <w:topLinePunct w:val="0"/>
        <w:bidi w:val="0"/>
        <w:snapToGrid/>
        <w:spacing w:after="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（三）雷电防护装置未经设计审核或者设计审核不合格施工的，未经竣工验收或者竣工验收不合格交付使用的。</w:t>
      </w:r>
    </w:p>
    <w:p w14:paraId="135425A7">
      <w:pPr>
        <w:pStyle w:val="5"/>
        <w:keepNext w:val="0"/>
        <w:keepLines w:val="0"/>
        <w:pageBreakBefore w:val="0"/>
        <w:kinsoku/>
        <w:overflowPunct/>
        <w:topLinePunct w:val="0"/>
        <w:bidi w:val="0"/>
        <w:snapToGrid/>
        <w:spacing w:before="0" w:beforeAutospacing="0" w:after="0" w:afterAutospacing="0"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kern w:val="2"/>
          <w:sz w:val="32"/>
          <w:szCs w:val="32"/>
        </w:rPr>
        <w:t xml:space="preserve">第三十七条【法律责任2】 </w:t>
      </w:r>
      <w:r>
        <w:rPr>
          <w:rFonts w:hint="eastAsia" w:ascii="仿宋_GB2312" w:hAnsi="仿宋_GB2312" w:eastAsia="仿宋_GB2312" w:cs="仿宋_GB2312"/>
          <w:color w:val="000000" w:themeColor="text1"/>
          <w:sz w:val="32"/>
          <w:szCs w:val="32"/>
          <w14:textFill>
            <w14:solidFill>
              <w14:schemeClr w14:val="tx1"/>
            </w14:solidFill>
          </w14:textFill>
        </w:rPr>
        <w:t>违反本办法规定，有下列行为之一的，由</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县</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气象主管机构按照权限责令改正，给予警告，可以并处三万元以下罚款；给他人造成损失的，依法承担赔偿责任；构成犯罪的，依法追究刑事责任：</w:t>
      </w:r>
    </w:p>
    <w:p w14:paraId="341C0C6B">
      <w:pPr>
        <w:pStyle w:val="5"/>
        <w:keepNext w:val="0"/>
        <w:keepLines w:val="0"/>
        <w:pageBreakBefore w:val="0"/>
        <w:kinsoku/>
        <w:overflowPunct/>
        <w:topLinePunct w:val="0"/>
        <w:bidi w:val="0"/>
        <w:snapToGrid/>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（一）应当安装雷电防护装置而拒不安装的；</w:t>
      </w:r>
    </w:p>
    <w:p w14:paraId="33760E7E">
      <w:pPr>
        <w:pStyle w:val="5"/>
        <w:keepNext w:val="0"/>
        <w:keepLines w:val="0"/>
        <w:pageBreakBefore w:val="0"/>
        <w:kinsoku/>
        <w:overflowPunct/>
        <w:topLinePunct w:val="0"/>
        <w:bidi w:val="0"/>
        <w:snapToGrid/>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（二）已有雷电防护装置，拒绝进行检测或者检测不合格又拒不整改的；</w:t>
      </w:r>
    </w:p>
    <w:p w14:paraId="64F8AE71">
      <w:pPr>
        <w:pStyle w:val="5"/>
        <w:keepNext w:val="0"/>
        <w:keepLines w:val="0"/>
        <w:pageBreakBefore w:val="0"/>
        <w:kinsoku/>
        <w:overflowPunct/>
        <w:topLinePunct w:val="0"/>
        <w:bidi w:val="0"/>
        <w:snapToGrid/>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（三）对重大雷电灾害事故隐瞒不报的。</w:t>
      </w:r>
    </w:p>
    <w:p w14:paraId="76C5E7FD">
      <w:pPr>
        <w:keepNext w:val="0"/>
        <w:keepLines w:val="0"/>
        <w:pageBreakBefore w:val="0"/>
        <w:widowControl/>
        <w:kinsoku/>
        <w:overflowPunct/>
        <w:topLinePunct w:val="0"/>
        <w:bidi w:val="0"/>
        <w:snapToGrid/>
        <w:spacing w:line="560" w:lineRule="exact"/>
        <w:ind w:firstLine="643" w:firstLineChars="200"/>
        <w:textAlignment w:val="center"/>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b/>
          <w:bCs/>
          <w:sz w:val="32"/>
          <w:szCs w:val="32"/>
          <w:lang w:eastAsia="zh-CN"/>
        </w:rPr>
        <w:t>转致条款</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违反本办法其他规定的行为，法律、法规已有法律责任规定的，从其规定。</w:t>
      </w:r>
    </w:p>
    <w:p w14:paraId="18A5FE0D">
      <w:pPr>
        <w:keepNext w:val="0"/>
        <w:keepLines w:val="0"/>
        <w:pageBreakBefore w:val="0"/>
        <w:kinsoku/>
        <w:overflowPunct/>
        <w:topLinePunct w:val="0"/>
        <w:bidi w:val="0"/>
        <w:snapToGrid/>
        <w:spacing w:line="560" w:lineRule="exact"/>
        <w:ind w:firstLine="643"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Cs/>
          <w:sz w:val="32"/>
          <w:szCs w:val="32"/>
          <w:lang w:eastAsia="zh-CN"/>
        </w:rPr>
        <w:t>新乡高新技术产业开发区、新乡</w:t>
      </w:r>
      <w:r>
        <w:rPr>
          <w:rFonts w:hint="eastAsia" w:ascii="仿宋_GB2312" w:hAnsi="仿宋_GB2312" w:eastAsia="仿宋_GB2312" w:cs="仿宋_GB2312"/>
          <w:bCs/>
          <w:sz w:val="32"/>
          <w:szCs w:val="32"/>
        </w:rPr>
        <w:t>经济</w:t>
      </w:r>
      <w:r>
        <w:rPr>
          <w:rFonts w:hint="eastAsia" w:ascii="仿宋_GB2312" w:hAnsi="仿宋_GB2312" w:eastAsia="仿宋_GB2312" w:cs="仿宋_GB2312"/>
          <w:bCs/>
          <w:sz w:val="32"/>
          <w:szCs w:val="32"/>
          <w:lang w:eastAsia="zh-CN"/>
        </w:rPr>
        <w:t>技术开发区和新乡市平原城乡一体化示范区管理委员会，根据新乡市人民政府的授权，依据本办法做好辖区内雷电灾害防御管理工作</w:t>
      </w:r>
      <w:r>
        <w:rPr>
          <w:rFonts w:hint="eastAsia" w:ascii="仿宋_GB2312" w:hAnsi="仿宋_GB2312" w:eastAsia="仿宋_GB2312" w:cs="仿宋_GB2312"/>
          <w:bCs/>
          <w:sz w:val="32"/>
          <w:szCs w:val="32"/>
        </w:rPr>
        <w:t>。</w:t>
      </w:r>
    </w:p>
    <w:p w14:paraId="16A72514">
      <w:pPr>
        <w:keepNext w:val="0"/>
        <w:keepLines w:val="0"/>
        <w:pageBreakBefore w:val="0"/>
        <w:widowControl/>
        <w:kinsoku/>
        <w:overflowPunct/>
        <w:topLinePunct w:val="0"/>
        <w:bidi w:val="0"/>
        <w:snapToGrid/>
        <w:spacing w:line="560" w:lineRule="exact"/>
        <w:ind w:firstLine="643" w:firstLineChars="200"/>
        <w:textAlignment w:val="center"/>
        <w:rPr>
          <w:sz w:val="44"/>
          <w:szCs w:val="44"/>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十条【施行日期】 </w:t>
      </w:r>
      <w:r>
        <w:rPr>
          <w:rFonts w:hint="eastAsia" w:ascii="仿宋_GB2312" w:hAnsi="仿宋_GB2312" w:eastAsia="仿宋_GB2312" w:cs="仿宋_GB2312"/>
          <w:color w:val="000000"/>
          <w:kern w:val="0"/>
          <w:sz w:val="32"/>
          <w:szCs w:val="32"/>
        </w:rPr>
        <w:t>本办法自XXXX年XX月XX日起施行。</w:t>
      </w:r>
    </w:p>
    <w:p w14:paraId="6BB6BFAC">
      <w:pPr>
        <w:spacing w:line="570" w:lineRule="exact"/>
        <w:rPr>
          <w:rFonts w:ascii="方正小标宋简体" w:hAnsi="方正小标宋简体" w:eastAsia="方正小标宋简体" w:cs="方正小标宋简体"/>
          <w:b/>
          <w:bCs/>
          <w:sz w:val="44"/>
          <w:szCs w:val="44"/>
        </w:rPr>
      </w:pPr>
    </w:p>
    <w:p w14:paraId="1B756B93">
      <w:pPr>
        <w:spacing w:line="570" w:lineRule="exact"/>
        <w:rPr>
          <w:rFonts w:ascii="方正小标宋简体" w:hAnsi="方正小标宋简体" w:eastAsia="方正小标宋简体" w:cs="方正小标宋简体"/>
          <w:b/>
          <w:bCs/>
          <w:sz w:val="44"/>
          <w:szCs w:val="44"/>
        </w:rPr>
      </w:pPr>
    </w:p>
    <w:p w14:paraId="103A8C6C">
      <w:pPr>
        <w:spacing w:line="570" w:lineRule="exact"/>
        <w:rPr>
          <w:rFonts w:ascii="方正小标宋简体" w:hAnsi="方正小标宋简体" w:eastAsia="方正小标宋简体" w:cs="方正小标宋简体"/>
          <w:b/>
          <w:bCs/>
          <w:sz w:val="44"/>
          <w:szCs w:val="44"/>
        </w:rPr>
      </w:pPr>
    </w:p>
    <w:p w14:paraId="26FCFAC4">
      <w:pPr>
        <w:rPr>
          <w:rFonts w:ascii="仿宋_GB2312" w:eastAsia="仿宋_GB2312"/>
          <w:sz w:val="32"/>
          <w:szCs w:val="32"/>
        </w:rPr>
      </w:pPr>
    </w:p>
    <w:sectPr>
      <w:footerReference r:id="rId3" w:type="default"/>
      <w:pgSz w:w="11906" w:h="16838"/>
      <w:pgMar w:top="2098" w:right="1474" w:bottom="1985" w:left="1588"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A8AA8">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22935" cy="2305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14:paraId="2313719E">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49.05pt;mso-position-horizontal:right;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DMzFdEAAAADAQAADwAAAAAAAAABACAAAAAiAAAAZHJzL2Rvd25yZXYueG1sUEsB&#10;AhQAFAAAAAgAh07iQBjU3YH8AQAABAQAAA4AAAAAAAAAAQAgAAAAIAEAAGRycy9lMm9Eb2MueG1s&#10;UEsFBgAAAAAGAAYAWQEAAI4FAAAAAA==&#10;">
              <v:fill on="f" focussize="0,0"/>
              <v:stroke on="f"/>
              <v:imagedata o:title=""/>
              <o:lock v:ext="edit" aspectratio="f"/>
              <v:textbox inset="0mm,0mm,0mm,0mm" style="mso-fit-shape-to-text:t;">
                <w:txbxContent>
                  <w:p w14:paraId="2313719E">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01"/>
    <w:rsid w:val="0008462E"/>
    <w:rsid w:val="000D3978"/>
    <w:rsid w:val="001459D8"/>
    <w:rsid w:val="0029567C"/>
    <w:rsid w:val="00295E68"/>
    <w:rsid w:val="002A1B7E"/>
    <w:rsid w:val="0034503F"/>
    <w:rsid w:val="00352201"/>
    <w:rsid w:val="00402A99"/>
    <w:rsid w:val="00412C7F"/>
    <w:rsid w:val="00412E8A"/>
    <w:rsid w:val="00482D29"/>
    <w:rsid w:val="00527347"/>
    <w:rsid w:val="00530169"/>
    <w:rsid w:val="0053312E"/>
    <w:rsid w:val="0053443E"/>
    <w:rsid w:val="00607392"/>
    <w:rsid w:val="0068362B"/>
    <w:rsid w:val="00742099"/>
    <w:rsid w:val="007B7A49"/>
    <w:rsid w:val="00812367"/>
    <w:rsid w:val="0083424B"/>
    <w:rsid w:val="00847A04"/>
    <w:rsid w:val="00891330"/>
    <w:rsid w:val="008D6913"/>
    <w:rsid w:val="00990F7A"/>
    <w:rsid w:val="00993BD1"/>
    <w:rsid w:val="00A855B9"/>
    <w:rsid w:val="00BE544F"/>
    <w:rsid w:val="00C63EFC"/>
    <w:rsid w:val="00CA41FB"/>
    <w:rsid w:val="00E242BA"/>
    <w:rsid w:val="00E818B2"/>
    <w:rsid w:val="00E84FBF"/>
    <w:rsid w:val="00EA0E70"/>
    <w:rsid w:val="00EF22AA"/>
    <w:rsid w:val="00F11528"/>
    <w:rsid w:val="00F76341"/>
    <w:rsid w:val="00F96328"/>
    <w:rsid w:val="00F97FCE"/>
    <w:rsid w:val="00FA01F1"/>
    <w:rsid w:val="012F41F1"/>
    <w:rsid w:val="02DE7C7D"/>
    <w:rsid w:val="03541CED"/>
    <w:rsid w:val="04877EA0"/>
    <w:rsid w:val="057041D6"/>
    <w:rsid w:val="07EA6003"/>
    <w:rsid w:val="08055230"/>
    <w:rsid w:val="09600488"/>
    <w:rsid w:val="0C6B28B7"/>
    <w:rsid w:val="0F6F89EA"/>
    <w:rsid w:val="10093E5F"/>
    <w:rsid w:val="102A55CA"/>
    <w:rsid w:val="146A5AC7"/>
    <w:rsid w:val="14FF07CF"/>
    <w:rsid w:val="15E11161"/>
    <w:rsid w:val="19D401E7"/>
    <w:rsid w:val="1BAD34C3"/>
    <w:rsid w:val="1D0B0D8B"/>
    <w:rsid w:val="1E6B4B8D"/>
    <w:rsid w:val="22021B86"/>
    <w:rsid w:val="23BE3AA8"/>
    <w:rsid w:val="25FD8269"/>
    <w:rsid w:val="26583467"/>
    <w:rsid w:val="2E314855"/>
    <w:rsid w:val="2E60513A"/>
    <w:rsid w:val="33F54A99"/>
    <w:rsid w:val="367C05CA"/>
    <w:rsid w:val="36B31130"/>
    <w:rsid w:val="36D12629"/>
    <w:rsid w:val="376E49BE"/>
    <w:rsid w:val="396106E4"/>
    <w:rsid w:val="3AFF8B3A"/>
    <w:rsid w:val="3B025055"/>
    <w:rsid w:val="3B4329AA"/>
    <w:rsid w:val="3BB65FC5"/>
    <w:rsid w:val="3C7F6DD0"/>
    <w:rsid w:val="3CB070D0"/>
    <w:rsid w:val="3D5D7415"/>
    <w:rsid w:val="3D850BD0"/>
    <w:rsid w:val="3E59FD90"/>
    <w:rsid w:val="3E62FFC3"/>
    <w:rsid w:val="3F7DB45C"/>
    <w:rsid w:val="3F7F89F7"/>
    <w:rsid w:val="3FAFF07E"/>
    <w:rsid w:val="3FFF8316"/>
    <w:rsid w:val="48C52A73"/>
    <w:rsid w:val="4CD25401"/>
    <w:rsid w:val="50FC089B"/>
    <w:rsid w:val="53250E05"/>
    <w:rsid w:val="54375DFB"/>
    <w:rsid w:val="549D686E"/>
    <w:rsid w:val="57F6F36A"/>
    <w:rsid w:val="57FEA94B"/>
    <w:rsid w:val="58EFA718"/>
    <w:rsid w:val="5BFF502F"/>
    <w:rsid w:val="5EF6F628"/>
    <w:rsid w:val="5FDF317D"/>
    <w:rsid w:val="613A51F3"/>
    <w:rsid w:val="62BE3686"/>
    <w:rsid w:val="641B40EB"/>
    <w:rsid w:val="642B52C7"/>
    <w:rsid w:val="694035C3"/>
    <w:rsid w:val="6A8846AA"/>
    <w:rsid w:val="6ADF8D7C"/>
    <w:rsid w:val="6BDF20DA"/>
    <w:rsid w:val="6BF579F0"/>
    <w:rsid w:val="6CD026F9"/>
    <w:rsid w:val="6CFFE852"/>
    <w:rsid w:val="6EFBF990"/>
    <w:rsid w:val="6F3B8C73"/>
    <w:rsid w:val="6F4A09BD"/>
    <w:rsid w:val="6FDB62ED"/>
    <w:rsid w:val="6FEDDE08"/>
    <w:rsid w:val="6FFF54A0"/>
    <w:rsid w:val="72087201"/>
    <w:rsid w:val="74307F82"/>
    <w:rsid w:val="74936C9D"/>
    <w:rsid w:val="755FEBE2"/>
    <w:rsid w:val="77DF3BD8"/>
    <w:rsid w:val="7A5AADF0"/>
    <w:rsid w:val="7AD2C8B1"/>
    <w:rsid w:val="7BBFD3F1"/>
    <w:rsid w:val="7BDFC942"/>
    <w:rsid w:val="7BE5D33E"/>
    <w:rsid w:val="7BEDDF9F"/>
    <w:rsid w:val="7D77D312"/>
    <w:rsid w:val="7DCA3C5E"/>
    <w:rsid w:val="7DFF4CEC"/>
    <w:rsid w:val="7E6B3FE8"/>
    <w:rsid w:val="7EC938F1"/>
    <w:rsid w:val="7ECFFCA4"/>
    <w:rsid w:val="7EE7079D"/>
    <w:rsid w:val="7EED169F"/>
    <w:rsid w:val="7F19366F"/>
    <w:rsid w:val="7F7C513F"/>
    <w:rsid w:val="7FAFE459"/>
    <w:rsid w:val="7FBB2B3C"/>
    <w:rsid w:val="7FDF6737"/>
    <w:rsid w:val="7FEF9FF8"/>
    <w:rsid w:val="7FF5CEB3"/>
    <w:rsid w:val="7FF7A9B2"/>
    <w:rsid w:val="7FF9CF2A"/>
    <w:rsid w:val="7FFD8F01"/>
    <w:rsid w:val="7FFE65BB"/>
    <w:rsid w:val="7FFFC094"/>
    <w:rsid w:val="7FFFC726"/>
    <w:rsid w:val="95D9C3BE"/>
    <w:rsid w:val="9BE72523"/>
    <w:rsid w:val="9FDB78A4"/>
    <w:rsid w:val="9FDFB8FD"/>
    <w:rsid w:val="9FFFD919"/>
    <w:rsid w:val="AF535C6C"/>
    <w:rsid w:val="B46D5FF9"/>
    <w:rsid w:val="B7FE3DB1"/>
    <w:rsid w:val="BA7E220E"/>
    <w:rsid w:val="BBB3FAD4"/>
    <w:rsid w:val="BBBCF4F0"/>
    <w:rsid w:val="BDDF6E7D"/>
    <w:rsid w:val="BDFF4345"/>
    <w:rsid w:val="BE3AA80D"/>
    <w:rsid w:val="BEFB37D1"/>
    <w:rsid w:val="BFE75399"/>
    <w:rsid w:val="C67C9E15"/>
    <w:rsid w:val="C7F56CC8"/>
    <w:rsid w:val="CEDF9D69"/>
    <w:rsid w:val="CFC72C76"/>
    <w:rsid w:val="DCEB1374"/>
    <w:rsid w:val="DEFF5564"/>
    <w:rsid w:val="DFBB7A3E"/>
    <w:rsid w:val="DFE6D243"/>
    <w:rsid w:val="DFF7F613"/>
    <w:rsid w:val="E1B881FE"/>
    <w:rsid w:val="E5FE92FB"/>
    <w:rsid w:val="EA4F512D"/>
    <w:rsid w:val="EAD5D429"/>
    <w:rsid w:val="EBFD07C6"/>
    <w:rsid w:val="EEFBB072"/>
    <w:rsid w:val="EF75D960"/>
    <w:rsid w:val="EF92F715"/>
    <w:rsid w:val="F0F953B2"/>
    <w:rsid w:val="F3334B55"/>
    <w:rsid w:val="F3BA0A01"/>
    <w:rsid w:val="F3BCD193"/>
    <w:rsid w:val="F3F79746"/>
    <w:rsid w:val="F4CB2D07"/>
    <w:rsid w:val="F5FE04E6"/>
    <w:rsid w:val="F67FD755"/>
    <w:rsid w:val="F6FBC809"/>
    <w:rsid w:val="F7DFE036"/>
    <w:rsid w:val="F7E2B2ED"/>
    <w:rsid w:val="F7EB7E38"/>
    <w:rsid w:val="F7EDA937"/>
    <w:rsid w:val="F7EF2C0B"/>
    <w:rsid w:val="F8F8BDE1"/>
    <w:rsid w:val="FB6E1451"/>
    <w:rsid w:val="FBBE17E2"/>
    <w:rsid w:val="FBD7FD67"/>
    <w:rsid w:val="FBEF0494"/>
    <w:rsid w:val="FBF714AB"/>
    <w:rsid w:val="FD7B6F0F"/>
    <w:rsid w:val="FE7C8A81"/>
    <w:rsid w:val="FEDFCFCC"/>
    <w:rsid w:val="FF561668"/>
    <w:rsid w:val="FF7D5AF5"/>
    <w:rsid w:val="FF7D91C2"/>
    <w:rsid w:val="FF7E9C86"/>
    <w:rsid w:val="FF7FE255"/>
    <w:rsid w:val="FFA7A621"/>
    <w:rsid w:val="FFB9A2B2"/>
    <w:rsid w:val="FFEF2791"/>
    <w:rsid w:val="FFEF4801"/>
    <w:rsid w:val="FFFB4C71"/>
    <w:rsid w:val="FFFBC06B"/>
    <w:rsid w:val="FFFE93D7"/>
    <w:rsid w:val="FFFF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1">
    <w:name w:val="Default"/>
    <w:unhideWhenUsed/>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5153</Words>
  <Characters>5163</Characters>
  <Lines>37</Lines>
  <Paragraphs>10</Paragraphs>
  <TotalTime>5</TotalTime>
  <ScaleCrop>false</ScaleCrop>
  <LinksUpToDate>false</LinksUpToDate>
  <CharactersWithSpaces>5206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2025-06-12T02:30:00Z</dcterms:created>
  <dc:creator>Administrator</dc:creator>
  <cp:lastModifiedBy>administrator</cp:lastModifiedBy>
  <dcterms:modified xsi:type="dcterms:W3CDTF">2025-07-23T09:56:40Z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eyJoZGlkIjoiYmYwYmYzMmMwYzQwZjYwOWNmMzY2OTNkOGQ0YWVhMzYifQ==</vt:lpwstr>
  </property>
  <property fmtid="{D5CDD505-2E9C-101B-9397-08002B2CF9AE}" pid="3" name="KSOProductBuildVer">
    <vt:lpwstr>2052-12.8.2.1119</vt:lpwstr>
  </property>
  <property fmtid="{D5CDD505-2E9C-101B-9397-08002B2CF9AE}" pid="4" name="ICV">
    <vt:lpwstr>F9AB4CEB696044F2B82F0E4E73E94E2F_13</vt:lpwstr>
  </property>
</Properties>
</file>